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39" w:rsidRPr="001047BD" w:rsidRDefault="00A95039" w:rsidP="00A95039">
      <w:pPr>
        <w:spacing w:after="0" w:line="240" w:lineRule="auto"/>
        <w:jc w:val="center"/>
        <w:rPr>
          <w:rFonts w:ascii="Calibri Light" w:hAnsi="Calibri Light" w:cs="Calibri Light"/>
          <w:b/>
          <w:color w:val="2F5496"/>
          <w:sz w:val="52"/>
          <w:szCs w:val="24"/>
        </w:rPr>
      </w:pPr>
      <w:r w:rsidRPr="001047BD">
        <w:rPr>
          <w:rFonts w:ascii="Calibri Light" w:hAnsi="Calibri Light" w:cs="Calibri Light"/>
          <w:b/>
          <w:color w:val="2F5496"/>
          <w:sz w:val="52"/>
          <w:szCs w:val="24"/>
        </w:rPr>
        <w:t>2023 DOIM Scientific Symposium</w:t>
      </w:r>
    </w:p>
    <w:p w:rsidR="00A95039" w:rsidRPr="00A95039" w:rsidRDefault="00A95039" w:rsidP="00A95039">
      <w:pPr>
        <w:spacing w:after="0" w:line="240" w:lineRule="auto"/>
        <w:rPr>
          <w:rFonts w:ascii="Calibri Light" w:hAnsi="Calibri Light" w:cs="Calibri Light"/>
          <w:color w:val="2F5496"/>
          <w:sz w:val="24"/>
          <w:szCs w:val="24"/>
        </w:rPr>
      </w:pPr>
    </w:p>
    <w:p w:rsidR="00A95039" w:rsidRDefault="00A95039" w:rsidP="00A95039">
      <w:pPr>
        <w:spacing w:after="0" w:line="240" w:lineRule="auto"/>
        <w:rPr>
          <w:rFonts w:ascii="Calibri Light" w:hAnsi="Calibri Light" w:cs="Calibri Light"/>
          <w:color w:val="2F5496"/>
          <w:sz w:val="24"/>
          <w:szCs w:val="24"/>
        </w:rPr>
      </w:pPr>
    </w:p>
    <w:p w:rsidR="00A95039" w:rsidRDefault="00A95039" w:rsidP="00A95039">
      <w:pPr>
        <w:spacing w:after="0" w:line="240" w:lineRule="auto"/>
        <w:rPr>
          <w:rFonts w:ascii="Calibri Light" w:hAnsi="Calibri Light" w:cs="Calibri Light"/>
          <w:color w:val="2F5496"/>
          <w:sz w:val="24"/>
          <w:szCs w:val="24"/>
        </w:rPr>
      </w:pPr>
    </w:p>
    <w:p w:rsidR="00A95039" w:rsidRDefault="00CE6B93" w:rsidP="00CE6B93">
      <w:pPr>
        <w:spacing w:after="0" w:line="240" w:lineRule="auto"/>
        <w:jc w:val="center"/>
        <w:rPr>
          <w:rFonts w:ascii="Calibri Light" w:hAnsi="Calibri Light" w:cs="Calibri Light"/>
          <w:color w:val="2F5496"/>
          <w:sz w:val="24"/>
          <w:szCs w:val="24"/>
        </w:rPr>
      </w:pPr>
      <w:r w:rsidRPr="00CE6B93">
        <w:rPr>
          <w:rFonts w:ascii="Calibri Light" w:hAnsi="Calibri Light" w:cs="Calibri Light"/>
          <w:b/>
          <w:color w:val="2F5496"/>
          <w:sz w:val="36"/>
          <w:szCs w:val="24"/>
        </w:rPr>
        <w:t>Please join us for our 2023 Department of Internal Medicine Scientific Symposium</w:t>
      </w:r>
      <w:r>
        <w:rPr>
          <w:rFonts w:ascii="Calibri Light" w:hAnsi="Calibri Light" w:cs="Calibri Light"/>
          <w:color w:val="2F5496"/>
          <w:sz w:val="24"/>
          <w:szCs w:val="24"/>
        </w:rPr>
        <w:t>.</w:t>
      </w:r>
    </w:p>
    <w:p w:rsidR="00A95039" w:rsidRPr="001047BD" w:rsidRDefault="00CE6B93" w:rsidP="00CE6B93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4"/>
        </w:rPr>
      </w:pPr>
      <w:r w:rsidRPr="001047BD">
        <w:rPr>
          <w:rFonts w:ascii="Arial" w:hAnsi="Arial" w:cs="Arial"/>
          <w:b/>
          <w:color w:val="2F5496"/>
          <w:sz w:val="28"/>
          <w:szCs w:val="24"/>
        </w:rPr>
        <w:t>Thursday, May 11, 2023</w:t>
      </w:r>
    </w:p>
    <w:p w:rsidR="00A95039" w:rsidRDefault="00A95039" w:rsidP="00A95039">
      <w:pPr>
        <w:spacing w:after="0" w:line="240" w:lineRule="auto"/>
        <w:rPr>
          <w:rFonts w:ascii="Calibri Light" w:hAnsi="Calibri Light" w:cs="Calibri Light"/>
          <w:color w:val="2F5496"/>
          <w:sz w:val="24"/>
          <w:szCs w:val="24"/>
        </w:rPr>
      </w:pPr>
    </w:p>
    <w:p w:rsidR="001047BD" w:rsidRDefault="001047BD" w:rsidP="00A95039">
      <w:pPr>
        <w:spacing w:after="0" w:line="240" w:lineRule="auto"/>
        <w:rPr>
          <w:rFonts w:ascii="Calibri Light" w:hAnsi="Calibri Light" w:cs="Calibri Light"/>
          <w:color w:val="2F5496"/>
          <w:sz w:val="24"/>
          <w:szCs w:val="24"/>
        </w:rPr>
      </w:pPr>
    </w:p>
    <w:p w:rsidR="00A95039" w:rsidRPr="00CE6B93" w:rsidRDefault="00A95039" w:rsidP="00A95039">
      <w:pPr>
        <w:spacing w:after="0" w:line="240" w:lineRule="auto"/>
        <w:rPr>
          <w:rFonts w:ascii="Arial" w:hAnsi="Arial" w:cs="Arial"/>
          <w:b/>
          <w:sz w:val="24"/>
        </w:rPr>
      </w:pP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12:00-12:05 – </w:t>
      </w:r>
      <w:r w:rsidR="00CE6B93">
        <w:rPr>
          <w:rFonts w:ascii="Arial" w:hAnsi="Arial" w:cs="Arial"/>
          <w:b/>
          <w:color w:val="2F5496"/>
          <w:sz w:val="28"/>
          <w:szCs w:val="24"/>
        </w:rPr>
        <w:tab/>
      </w: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Opening </w:t>
      </w:r>
      <w:r w:rsidR="00CE6B93">
        <w:rPr>
          <w:rFonts w:ascii="Arial" w:hAnsi="Arial" w:cs="Arial"/>
          <w:b/>
          <w:color w:val="2F5496"/>
          <w:sz w:val="28"/>
          <w:szCs w:val="24"/>
        </w:rPr>
        <w:t>R</w:t>
      </w:r>
      <w:r w:rsidRPr="00CE6B93">
        <w:rPr>
          <w:rFonts w:ascii="Arial" w:hAnsi="Arial" w:cs="Arial"/>
          <w:b/>
          <w:color w:val="2F5496"/>
          <w:sz w:val="28"/>
          <w:szCs w:val="24"/>
        </w:rPr>
        <w:t>emarks from</w:t>
      </w:r>
      <w:r w:rsidR="009E2BF6">
        <w:rPr>
          <w:rFonts w:ascii="Arial" w:hAnsi="Arial" w:cs="Arial"/>
          <w:b/>
          <w:color w:val="2F5496"/>
          <w:sz w:val="28"/>
          <w:szCs w:val="24"/>
        </w:rPr>
        <w:t xml:space="preserve"> the Chairman</w:t>
      </w:r>
    </w:p>
    <w:p w:rsidR="00A95039" w:rsidRPr="00CE6B93" w:rsidRDefault="00A95039" w:rsidP="00A95039">
      <w:pPr>
        <w:spacing w:after="0" w:line="240" w:lineRule="auto"/>
        <w:rPr>
          <w:rFonts w:ascii="Arial" w:hAnsi="Arial" w:cs="Arial"/>
          <w:b/>
          <w:sz w:val="24"/>
        </w:rPr>
      </w:pP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12:05-1:00 – </w:t>
      </w:r>
      <w:r w:rsidR="00CE6B93">
        <w:rPr>
          <w:rFonts w:ascii="Arial" w:hAnsi="Arial" w:cs="Arial"/>
          <w:b/>
          <w:color w:val="2F5496"/>
          <w:sz w:val="28"/>
          <w:szCs w:val="24"/>
        </w:rPr>
        <w:tab/>
      </w: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Rising Star </w:t>
      </w:r>
      <w:r w:rsidR="00CE6B93">
        <w:rPr>
          <w:rFonts w:ascii="Arial" w:hAnsi="Arial" w:cs="Arial"/>
          <w:b/>
          <w:color w:val="2F5496"/>
          <w:sz w:val="28"/>
          <w:szCs w:val="24"/>
        </w:rPr>
        <w:t>P</w:t>
      </w:r>
      <w:r w:rsidRPr="00CE6B93">
        <w:rPr>
          <w:rFonts w:ascii="Arial" w:hAnsi="Arial" w:cs="Arial"/>
          <w:b/>
          <w:color w:val="2F5496"/>
          <w:sz w:val="28"/>
          <w:szCs w:val="24"/>
        </w:rPr>
        <w:t>resentations</w:t>
      </w:r>
    </w:p>
    <w:p w:rsidR="00A95039" w:rsidRPr="00CE6B93" w:rsidRDefault="00A95039" w:rsidP="00A95039">
      <w:pPr>
        <w:spacing w:after="0" w:line="240" w:lineRule="auto"/>
        <w:rPr>
          <w:rFonts w:ascii="Arial" w:hAnsi="Arial" w:cs="Arial"/>
          <w:b/>
          <w:sz w:val="24"/>
        </w:rPr>
      </w:pP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1:00-2:30 – </w:t>
      </w:r>
      <w:r w:rsidR="00CE6B93">
        <w:rPr>
          <w:rFonts w:ascii="Arial" w:hAnsi="Arial" w:cs="Arial"/>
          <w:b/>
          <w:color w:val="2F5496"/>
          <w:sz w:val="28"/>
          <w:szCs w:val="24"/>
        </w:rPr>
        <w:tab/>
      </w: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Poster </w:t>
      </w:r>
      <w:r w:rsidR="00CE6B93">
        <w:rPr>
          <w:rFonts w:ascii="Arial" w:hAnsi="Arial" w:cs="Arial"/>
          <w:b/>
          <w:color w:val="2F5496"/>
          <w:sz w:val="28"/>
          <w:szCs w:val="24"/>
        </w:rPr>
        <w:t>P</w:t>
      </w:r>
      <w:r w:rsidRPr="00CE6B93">
        <w:rPr>
          <w:rFonts w:ascii="Arial" w:hAnsi="Arial" w:cs="Arial"/>
          <w:b/>
          <w:color w:val="2F5496"/>
          <w:sz w:val="28"/>
          <w:szCs w:val="24"/>
        </w:rPr>
        <w:t>resentations/</w:t>
      </w:r>
      <w:r w:rsidR="00CE6B93">
        <w:rPr>
          <w:rFonts w:ascii="Arial" w:hAnsi="Arial" w:cs="Arial"/>
          <w:b/>
          <w:color w:val="2F5496"/>
          <w:sz w:val="28"/>
          <w:szCs w:val="24"/>
        </w:rPr>
        <w:t>J</w:t>
      </w:r>
      <w:r w:rsidRPr="00CE6B93">
        <w:rPr>
          <w:rFonts w:ascii="Arial" w:hAnsi="Arial" w:cs="Arial"/>
          <w:b/>
          <w:color w:val="2F5496"/>
          <w:sz w:val="28"/>
          <w:szCs w:val="24"/>
        </w:rPr>
        <w:t>udging</w:t>
      </w:r>
    </w:p>
    <w:p w:rsidR="00A95039" w:rsidRPr="00CE6B93" w:rsidRDefault="00A95039" w:rsidP="00A95039">
      <w:pPr>
        <w:spacing w:after="0" w:line="240" w:lineRule="auto"/>
        <w:rPr>
          <w:rFonts w:ascii="Arial" w:hAnsi="Arial" w:cs="Arial"/>
          <w:b/>
          <w:sz w:val="24"/>
        </w:rPr>
      </w:pP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2:30-3:30 – </w:t>
      </w:r>
      <w:r w:rsidR="00CE6B93">
        <w:rPr>
          <w:rFonts w:ascii="Arial" w:hAnsi="Arial" w:cs="Arial"/>
          <w:b/>
          <w:color w:val="2F5496"/>
          <w:sz w:val="28"/>
          <w:szCs w:val="24"/>
        </w:rPr>
        <w:tab/>
      </w: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Keynote </w:t>
      </w:r>
      <w:bookmarkStart w:id="0" w:name="_GoBack"/>
      <w:bookmarkEnd w:id="0"/>
      <w:r w:rsidR="00CE6B93">
        <w:rPr>
          <w:rFonts w:ascii="Arial" w:hAnsi="Arial" w:cs="Arial"/>
          <w:b/>
          <w:color w:val="2F5496"/>
          <w:sz w:val="28"/>
          <w:szCs w:val="24"/>
        </w:rPr>
        <w:t>A</w:t>
      </w:r>
      <w:r w:rsidRPr="00CE6B93">
        <w:rPr>
          <w:rFonts w:ascii="Arial" w:hAnsi="Arial" w:cs="Arial"/>
          <w:b/>
          <w:color w:val="2F5496"/>
          <w:sz w:val="28"/>
          <w:szCs w:val="24"/>
        </w:rPr>
        <w:t>ddress</w:t>
      </w:r>
      <w:r w:rsidR="00CE6B93">
        <w:rPr>
          <w:rFonts w:ascii="Arial" w:hAnsi="Arial" w:cs="Arial"/>
          <w:b/>
          <w:color w:val="2F5496"/>
          <w:sz w:val="28"/>
          <w:szCs w:val="24"/>
        </w:rPr>
        <w:t>- Mark T. Gladwin, M.D.</w:t>
      </w:r>
    </w:p>
    <w:p w:rsidR="00A95039" w:rsidRPr="00CE6B93" w:rsidRDefault="00A95039" w:rsidP="00A95039">
      <w:pPr>
        <w:spacing w:after="0" w:line="240" w:lineRule="auto"/>
        <w:rPr>
          <w:rFonts w:ascii="Arial" w:hAnsi="Arial" w:cs="Arial"/>
          <w:b/>
          <w:sz w:val="24"/>
        </w:rPr>
      </w:pPr>
      <w:r w:rsidRPr="00CE6B93">
        <w:rPr>
          <w:rFonts w:ascii="Arial" w:hAnsi="Arial" w:cs="Arial"/>
          <w:b/>
          <w:color w:val="2F5496"/>
          <w:sz w:val="28"/>
          <w:szCs w:val="24"/>
        </w:rPr>
        <w:t xml:space="preserve">3:30-4:00 – </w:t>
      </w:r>
      <w:r w:rsidR="00CE6B93">
        <w:rPr>
          <w:rFonts w:ascii="Arial" w:hAnsi="Arial" w:cs="Arial"/>
          <w:b/>
          <w:color w:val="2F5496"/>
          <w:sz w:val="28"/>
          <w:szCs w:val="24"/>
        </w:rPr>
        <w:tab/>
      </w:r>
      <w:r w:rsidRPr="00CE6B93">
        <w:rPr>
          <w:rFonts w:ascii="Arial" w:hAnsi="Arial" w:cs="Arial"/>
          <w:b/>
          <w:color w:val="2F5496"/>
          <w:sz w:val="28"/>
          <w:szCs w:val="24"/>
        </w:rPr>
        <w:t>Awards</w:t>
      </w:r>
    </w:p>
    <w:p w:rsidR="00A95039" w:rsidRPr="00A95039" w:rsidRDefault="00A95039" w:rsidP="00A95039">
      <w:pPr>
        <w:spacing w:after="0" w:line="240" w:lineRule="auto"/>
      </w:pPr>
      <w:r w:rsidRPr="00A95039">
        <w:rPr>
          <w:rFonts w:ascii="Calibri Light" w:hAnsi="Calibri Light" w:cs="Calibri Light"/>
          <w:color w:val="2F5496"/>
          <w:sz w:val="24"/>
          <w:szCs w:val="24"/>
        </w:rPr>
        <w:t> </w:t>
      </w:r>
    </w:p>
    <w:p w:rsidR="00CE6B93" w:rsidRDefault="00CE6B93"/>
    <w:p w:rsidR="007E42F2" w:rsidRDefault="007E42F2" w:rsidP="00CE6B93">
      <w:pPr>
        <w:rPr>
          <w:noProof/>
        </w:rPr>
      </w:pPr>
    </w:p>
    <w:p w:rsidR="00CE6B93" w:rsidRDefault="007E42F2" w:rsidP="00CE6B9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92BCC3">
            <wp:simplePos x="0" y="0"/>
            <wp:positionH relativeFrom="column">
              <wp:posOffset>-298450</wp:posOffset>
            </wp:positionH>
            <wp:positionV relativeFrom="paragraph">
              <wp:posOffset>450215</wp:posOffset>
            </wp:positionV>
            <wp:extent cx="109220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098" y="21445"/>
                <wp:lineTo x="21098" y="0"/>
                <wp:lineTo x="0" y="0"/>
              </wp:wrapPolygon>
            </wp:wrapTight>
            <wp:docPr id="1" name="Picture 1" descr="Mark T. Gladwin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T. Gladwin, M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1"/>
                    <a:stretch/>
                  </pic:blipFill>
                  <pic:spPr bwMode="auto">
                    <a:xfrm>
                      <a:off x="0" y="0"/>
                      <a:ext cx="10922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F6" w:rsidRPr="009E2BF6" w:rsidRDefault="009E2BF6" w:rsidP="00CE6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Mark Gladwin is an expert in pulmonary hypertension and sickle cell disease, serving as dean of the University of Maryland School of Medicine (UMSOM), </w:t>
      </w:r>
      <w:r w:rsidR="007E42F2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August 2022.  He also serves as the John Z. and Akiko K. Bowers Distinguished Professor at UMSOM, and vice president for medical affairs for the University of Maryland, Baltimore.</w:t>
      </w:r>
      <w:r w:rsidR="007E42F2">
        <w:rPr>
          <w:rFonts w:ascii="Arial" w:hAnsi="Arial" w:cs="Arial"/>
          <w:sz w:val="24"/>
          <w:szCs w:val="24"/>
        </w:rPr>
        <w:t xml:space="preserve">  Dr. Gladwin has been involved as a principal or associate investigator on more than 25 clinical trials, as well as co-authoring several text books, and his research has led to more than 200 published, peer-reviewed manuscripts,.  </w:t>
      </w:r>
    </w:p>
    <w:sectPr w:rsidR="009E2BF6" w:rsidRPr="009E2BF6" w:rsidSect="00A95039">
      <w:pgSz w:w="12240" w:h="15840"/>
      <w:pgMar w:top="1440" w:right="1440" w:bottom="1440" w:left="1440" w:header="720" w:footer="720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9"/>
    <w:rsid w:val="001047BD"/>
    <w:rsid w:val="00322255"/>
    <w:rsid w:val="007E42F2"/>
    <w:rsid w:val="00980949"/>
    <w:rsid w:val="009E2BF6"/>
    <w:rsid w:val="00A95039"/>
    <w:rsid w:val="00C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4251-ED3F-4084-BEE3-9F8153A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Kelli L</dc:creator>
  <cp:keywords/>
  <dc:description/>
  <cp:lastModifiedBy>Banks, Kelli L</cp:lastModifiedBy>
  <cp:revision>3</cp:revision>
  <dcterms:created xsi:type="dcterms:W3CDTF">2023-02-09T16:38:00Z</dcterms:created>
  <dcterms:modified xsi:type="dcterms:W3CDTF">2023-02-10T17:11:00Z</dcterms:modified>
</cp:coreProperties>
</file>