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270" w:rsidRPr="00044E39" w:rsidRDefault="00DB2270" w:rsidP="00DB2270">
      <w:pPr>
        <w:spacing w:after="0" w:line="240" w:lineRule="auto"/>
        <w:rPr>
          <w:b/>
          <w:bCs/>
          <w:sz w:val="28"/>
          <w:szCs w:val="28"/>
          <w:u w:val="single"/>
        </w:rPr>
      </w:pPr>
      <w:r>
        <w:rPr>
          <w:b/>
          <w:bCs/>
          <w:sz w:val="28"/>
          <w:szCs w:val="28"/>
          <w:u w:val="single"/>
        </w:rPr>
        <w:t xml:space="preserve">Dossier &amp; P&amp;T Process </w:t>
      </w:r>
      <w:r w:rsidRPr="00044E39">
        <w:rPr>
          <w:b/>
          <w:bCs/>
          <w:sz w:val="28"/>
          <w:szCs w:val="28"/>
          <w:u w:val="single"/>
        </w:rPr>
        <w:t xml:space="preserve">Frequently Asked Questions </w:t>
      </w:r>
    </w:p>
    <w:p w:rsidR="00DB2270" w:rsidRDefault="00DB2270" w:rsidP="00DB2270">
      <w:pPr>
        <w:spacing w:after="0" w:line="240" w:lineRule="auto"/>
      </w:pPr>
      <w:r>
        <w:t>*</w:t>
      </w:r>
      <w:r w:rsidR="007D25B1">
        <w:t>Many</w:t>
      </w:r>
      <w:r>
        <w:t xml:space="preserve"> Dossier FAQs are found in the </w:t>
      </w:r>
      <w:hyperlink r:id="rId7" w:history="1">
        <w:r w:rsidRPr="00DF6332">
          <w:rPr>
            <w:rStyle w:val="Hyperlink"/>
          </w:rPr>
          <w:t>OAA Policies &amp; Procedures Handbook Volume 3</w:t>
        </w:r>
      </w:hyperlink>
      <w:r>
        <w:t xml:space="preserve"> (pages 16 – 31)</w:t>
      </w:r>
    </w:p>
    <w:p w:rsidR="00DB2270" w:rsidRDefault="00DB2270" w:rsidP="00DB2270">
      <w:pPr>
        <w:rPr>
          <w:i/>
          <w:iCs/>
        </w:rPr>
      </w:pPr>
    </w:p>
    <w:p w:rsidR="00FD68AC" w:rsidRPr="00C81B47" w:rsidRDefault="00DB2270" w:rsidP="00C81B47">
      <w:pPr>
        <w:rPr>
          <w:i/>
          <w:iCs/>
        </w:rPr>
      </w:pPr>
      <w:r w:rsidRPr="000478D4">
        <w:rPr>
          <w:i/>
          <w:iCs/>
        </w:rPr>
        <w:t>Click the heading link to jump to the various sections</w:t>
      </w:r>
      <w:r>
        <w:rPr>
          <w:i/>
          <w:iCs/>
        </w:rPr>
        <w:t>:</w:t>
      </w:r>
    </w:p>
    <w:p w:rsidR="00FD68AC" w:rsidRDefault="00000000" w:rsidP="00B01BFA">
      <w:pPr>
        <w:spacing w:after="0" w:line="240" w:lineRule="auto"/>
        <w:rPr>
          <w:b/>
          <w:bCs/>
          <w:sz w:val="28"/>
          <w:szCs w:val="28"/>
          <w:u w:val="single"/>
        </w:rPr>
      </w:pPr>
      <w:hyperlink w:anchor="Forms_Compiling_the_Dossier" w:history="1">
        <w:r w:rsidR="00DB2270" w:rsidRPr="006F0B66">
          <w:rPr>
            <w:rStyle w:val="Hyperlink"/>
            <w:b/>
            <w:bCs/>
            <w:sz w:val="28"/>
            <w:szCs w:val="28"/>
          </w:rPr>
          <w:t>Forms &amp; Compiling the Dossier</w:t>
        </w:r>
      </w:hyperlink>
    </w:p>
    <w:p w:rsidR="00DB2270" w:rsidRDefault="00000000" w:rsidP="00B01BFA">
      <w:pPr>
        <w:spacing w:after="0" w:line="240" w:lineRule="auto"/>
        <w:rPr>
          <w:b/>
          <w:bCs/>
          <w:sz w:val="28"/>
          <w:szCs w:val="28"/>
          <w:u w:val="single"/>
        </w:rPr>
      </w:pPr>
      <w:hyperlink w:anchor="Narratives" w:history="1">
        <w:r w:rsidR="00DB2270" w:rsidRPr="001C3195">
          <w:rPr>
            <w:rStyle w:val="Hyperlink"/>
            <w:b/>
            <w:bCs/>
            <w:sz w:val="28"/>
            <w:szCs w:val="28"/>
          </w:rPr>
          <w:t>Narratives</w:t>
        </w:r>
      </w:hyperlink>
      <w:r w:rsidR="00BD03C3">
        <w:rPr>
          <w:rStyle w:val="Hyperlink"/>
          <w:b/>
          <w:bCs/>
          <w:sz w:val="28"/>
          <w:szCs w:val="28"/>
        </w:rPr>
        <w:t xml:space="preserve"> </w:t>
      </w:r>
    </w:p>
    <w:p w:rsidR="00DB2270" w:rsidRDefault="00000000" w:rsidP="00B01BFA">
      <w:pPr>
        <w:spacing w:after="0" w:line="240" w:lineRule="auto"/>
        <w:rPr>
          <w:rStyle w:val="Hyperlink"/>
          <w:b/>
          <w:bCs/>
          <w:sz w:val="28"/>
          <w:szCs w:val="28"/>
        </w:rPr>
      </w:pPr>
      <w:hyperlink w:anchor="Core_dossier" w:history="1">
        <w:r w:rsidR="00DB2270" w:rsidRPr="001C3195">
          <w:rPr>
            <w:rStyle w:val="Hyperlink"/>
            <w:b/>
            <w:bCs/>
            <w:sz w:val="28"/>
            <w:szCs w:val="28"/>
          </w:rPr>
          <w:t xml:space="preserve">Core </w:t>
        </w:r>
        <w:r w:rsidR="006F0B66" w:rsidRPr="001C3195">
          <w:rPr>
            <w:rStyle w:val="Hyperlink"/>
            <w:b/>
            <w:bCs/>
            <w:sz w:val="28"/>
            <w:szCs w:val="28"/>
          </w:rPr>
          <w:t>D</w:t>
        </w:r>
        <w:r w:rsidR="00DB2270" w:rsidRPr="001C3195">
          <w:rPr>
            <w:rStyle w:val="Hyperlink"/>
            <w:b/>
            <w:bCs/>
            <w:sz w:val="28"/>
            <w:szCs w:val="28"/>
          </w:rPr>
          <w:t>ossier</w:t>
        </w:r>
      </w:hyperlink>
    </w:p>
    <w:p w:rsidR="001314C1" w:rsidRDefault="00000000" w:rsidP="00B01BFA">
      <w:pPr>
        <w:spacing w:after="0" w:line="240" w:lineRule="auto"/>
        <w:rPr>
          <w:b/>
          <w:bCs/>
          <w:sz w:val="28"/>
          <w:szCs w:val="28"/>
          <w:u w:val="single"/>
        </w:rPr>
      </w:pPr>
      <w:hyperlink w:anchor="Annual_Reviews" w:history="1">
        <w:r w:rsidR="001314C1" w:rsidRPr="001314C1">
          <w:rPr>
            <w:rStyle w:val="Hyperlink"/>
            <w:b/>
            <w:bCs/>
            <w:sz w:val="28"/>
            <w:szCs w:val="28"/>
          </w:rPr>
          <w:t>Internal Letters of Evaluation</w:t>
        </w:r>
      </w:hyperlink>
    </w:p>
    <w:p w:rsidR="001314C1" w:rsidRDefault="00000000" w:rsidP="00B01BFA">
      <w:pPr>
        <w:spacing w:after="0" w:line="240" w:lineRule="auto"/>
        <w:rPr>
          <w:b/>
          <w:bCs/>
          <w:sz w:val="28"/>
          <w:szCs w:val="28"/>
        </w:rPr>
      </w:pPr>
      <w:hyperlink w:anchor="Peer_evaluations" w:history="1">
        <w:r w:rsidR="001314C1" w:rsidRPr="001314C1">
          <w:rPr>
            <w:rStyle w:val="Hyperlink"/>
            <w:b/>
            <w:bCs/>
            <w:sz w:val="28"/>
            <w:szCs w:val="28"/>
          </w:rPr>
          <w:t>Peer evaluations</w:t>
        </w:r>
      </w:hyperlink>
    </w:p>
    <w:p w:rsidR="00DB2270" w:rsidRDefault="00000000" w:rsidP="00B01BFA">
      <w:pPr>
        <w:spacing w:after="0" w:line="240" w:lineRule="auto"/>
        <w:rPr>
          <w:b/>
          <w:bCs/>
          <w:sz w:val="28"/>
          <w:szCs w:val="28"/>
          <w:u w:val="single"/>
        </w:rPr>
      </w:pPr>
      <w:hyperlink w:anchor="Annual_Reviews" w:history="1">
        <w:r w:rsidR="00DB2270" w:rsidRPr="001C3195">
          <w:rPr>
            <w:rStyle w:val="Hyperlink"/>
            <w:b/>
            <w:bCs/>
            <w:sz w:val="28"/>
            <w:szCs w:val="28"/>
          </w:rPr>
          <w:t xml:space="preserve">Annual </w:t>
        </w:r>
        <w:r w:rsidR="006F0B66" w:rsidRPr="001C3195">
          <w:rPr>
            <w:rStyle w:val="Hyperlink"/>
            <w:b/>
            <w:bCs/>
            <w:sz w:val="28"/>
            <w:szCs w:val="28"/>
          </w:rPr>
          <w:t>R</w:t>
        </w:r>
        <w:r w:rsidR="00DB2270" w:rsidRPr="001C3195">
          <w:rPr>
            <w:rStyle w:val="Hyperlink"/>
            <w:b/>
            <w:bCs/>
            <w:sz w:val="28"/>
            <w:szCs w:val="28"/>
          </w:rPr>
          <w:t>eviews</w:t>
        </w:r>
      </w:hyperlink>
    </w:p>
    <w:p w:rsidR="00DB2270" w:rsidRDefault="00000000" w:rsidP="00B01BFA">
      <w:pPr>
        <w:spacing w:after="0" w:line="240" w:lineRule="auto"/>
        <w:rPr>
          <w:b/>
          <w:bCs/>
          <w:sz w:val="28"/>
          <w:szCs w:val="28"/>
          <w:u w:val="single"/>
        </w:rPr>
      </w:pPr>
      <w:hyperlink w:anchor="Ext_Evals" w:history="1">
        <w:r w:rsidR="00DB2270" w:rsidRPr="001C3195">
          <w:rPr>
            <w:rStyle w:val="Hyperlink"/>
            <w:b/>
            <w:bCs/>
            <w:sz w:val="28"/>
            <w:szCs w:val="28"/>
          </w:rPr>
          <w:t>External Evaluations</w:t>
        </w:r>
      </w:hyperlink>
      <w:r w:rsidR="00DB2270">
        <w:rPr>
          <w:b/>
          <w:bCs/>
          <w:sz w:val="28"/>
          <w:szCs w:val="28"/>
          <w:u w:val="single"/>
        </w:rPr>
        <w:t xml:space="preserve"> </w:t>
      </w:r>
    </w:p>
    <w:p w:rsidR="00DB2270" w:rsidRDefault="00000000" w:rsidP="00B01BFA">
      <w:pPr>
        <w:spacing w:after="0" w:line="240" w:lineRule="auto"/>
        <w:rPr>
          <w:rStyle w:val="Hyperlink"/>
          <w:b/>
          <w:bCs/>
          <w:sz w:val="28"/>
          <w:szCs w:val="28"/>
        </w:rPr>
      </w:pPr>
      <w:hyperlink w:anchor="Student_Evaluations" w:history="1">
        <w:r w:rsidR="00DB2270" w:rsidRPr="001C3195">
          <w:rPr>
            <w:rStyle w:val="Hyperlink"/>
            <w:b/>
            <w:bCs/>
            <w:sz w:val="28"/>
            <w:szCs w:val="28"/>
          </w:rPr>
          <w:t>Student Evaluations</w:t>
        </w:r>
      </w:hyperlink>
    </w:p>
    <w:p w:rsidR="001F7B21" w:rsidRDefault="00000000" w:rsidP="00B01BFA">
      <w:pPr>
        <w:spacing w:after="0" w:line="240" w:lineRule="auto"/>
        <w:rPr>
          <w:b/>
          <w:bCs/>
          <w:sz w:val="28"/>
          <w:szCs w:val="28"/>
          <w:u w:val="single"/>
        </w:rPr>
      </w:pPr>
      <w:hyperlink w:anchor="Internal_Review_Letters" w:history="1">
        <w:r w:rsidR="001F7B21" w:rsidRPr="001F7B21">
          <w:rPr>
            <w:rStyle w:val="Hyperlink"/>
            <w:b/>
            <w:bCs/>
            <w:sz w:val="28"/>
            <w:szCs w:val="28"/>
          </w:rPr>
          <w:t>Internal Review Letters</w:t>
        </w:r>
      </w:hyperlink>
    </w:p>
    <w:p w:rsidR="00DB2270" w:rsidRDefault="00000000" w:rsidP="00B01BFA">
      <w:pPr>
        <w:spacing w:after="0" w:line="240" w:lineRule="auto"/>
        <w:rPr>
          <w:b/>
          <w:bCs/>
          <w:sz w:val="28"/>
          <w:szCs w:val="28"/>
          <w:u w:val="single"/>
        </w:rPr>
      </w:pPr>
      <w:hyperlink w:anchor="Process" w:history="1">
        <w:r w:rsidR="00DB2270" w:rsidRPr="001C3195">
          <w:rPr>
            <w:rStyle w:val="Hyperlink"/>
            <w:b/>
            <w:bCs/>
            <w:sz w:val="28"/>
            <w:szCs w:val="28"/>
          </w:rPr>
          <w:t>Process</w:t>
        </w:r>
      </w:hyperlink>
    </w:p>
    <w:p w:rsidR="00AA5C17" w:rsidRDefault="00AA5C17" w:rsidP="00B01BFA">
      <w:pPr>
        <w:spacing w:after="0" w:line="240" w:lineRule="auto"/>
        <w:rPr>
          <w:b/>
          <w:bCs/>
          <w:sz w:val="28"/>
          <w:szCs w:val="28"/>
          <w:u w:val="single"/>
        </w:rPr>
      </w:pPr>
    </w:p>
    <w:p w:rsidR="00B01BFA" w:rsidRDefault="00B01BFA" w:rsidP="004D68CA">
      <w:pPr>
        <w:rPr>
          <w:u w:val="single"/>
        </w:rPr>
      </w:pPr>
    </w:p>
    <w:p w:rsidR="00DB2270" w:rsidRPr="00C81B47" w:rsidRDefault="00DB2270" w:rsidP="004D68CA">
      <w:pPr>
        <w:rPr>
          <w:b/>
          <w:bCs/>
          <w:sz w:val="28"/>
          <w:szCs w:val="28"/>
          <w:u w:val="single"/>
        </w:rPr>
      </w:pPr>
      <w:bookmarkStart w:id="0" w:name="Forms_Compiling_the_Dossier"/>
      <w:r w:rsidRPr="00C81B47">
        <w:rPr>
          <w:b/>
          <w:bCs/>
          <w:sz w:val="28"/>
          <w:szCs w:val="28"/>
          <w:u w:val="single"/>
        </w:rPr>
        <w:t>Forms &amp; Compiling the Dossier</w:t>
      </w:r>
    </w:p>
    <w:bookmarkEnd w:id="0"/>
    <w:p w:rsidR="003042A8" w:rsidRPr="003042A8" w:rsidRDefault="003042A8" w:rsidP="003042A8">
      <w:pPr>
        <w:pStyle w:val="ListParagraph"/>
        <w:numPr>
          <w:ilvl w:val="2"/>
          <w:numId w:val="1"/>
        </w:numPr>
      </w:pPr>
      <w:r w:rsidRPr="008B433A">
        <w:rPr>
          <w:b/>
        </w:rPr>
        <w:t xml:space="preserve">Where does everything go in the complete </w:t>
      </w:r>
      <w:r w:rsidR="00F65A15" w:rsidRPr="008B433A">
        <w:rPr>
          <w:b/>
        </w:rPr>
        <w:t xml:space="preserve">full </w:t>
      </w:r>
      <w:r w:rsidRPr="008B433A">
        <w:rPr>
          <w:b/>
        </w:rPr>
        <w:t>Dossier?</w:t>
      </w:r>
      <w:r w:rsidRPr="003042A8">
        <w:t xml:space="preserve"> Refer to these resources: </w:t>
      </w:r>
    </w:p>
    <w:bookmarkStart w:id="1" w:name="_Hlk129010880"/>
    <w:p w:rsidR="003042A8" w:rsidRPr="003042A8" w:rsidRDefault="001F7B21" w:rsidP="003042A8">
      <w:pPr>
        <w:pStyle w:val="ListParagraph"/>
        <w:numPr>
          <w:ilvl w:val="3"/>
          <w:numId w:val="1"/>
        </w:numPr>
      </w:pPr>
      <w:r>
        <w:fldChar w:fldCharType="begin"/>
      </w:r>
      <w:r>
        <w:instrText>HYPERLINK "https://medicine.osu.edu/faculty/promotion-and-tenure/apt-toolbox"</w:instrText>
      </w:r>
      <w:r>
        <w:fldChar w:fldCharType="separate"/>
      </w:r>
      <w:r w:rsidR="003042A8" w:rsidRPr="00972868">
        <w:rPr>
          <w:rStyle w:val="Hyperlink"/>
        </w:rPr>
        <w:t>APT Toolbox</w:t>
      </w:r>
      <w:r>
        <w:rPr>
          <w:rStyle w:val="Hyperlink"/>
        </w:rPr>
        <w:fldChar w:fldCharType="end"/>
      </w:r>
      <w:r w:rsidR="003042A8" w:rsidRPr="00972868">
        <w:t xml:space="preserve"> Section </w:t>
      </w:r>
      <w:r w:rsidR="00972868" w:rsidRPr="00972868">
        <w:t>3b:</w:t>
      </w:r>
      <w:r w:rsidR="003042A8" w:rsidRPr="003042A8">
        <w:t xml:space="preserve"> </w:t>
      </w:r>
      <w:bookmarkEnd w:id="1"/>
      <w:r w:rsidR="003042A8" w:rsidRPr="003042A8">
        <w:t>“P&amp;T Packet Checklist</w:t>
      </w:r>
      <w:r w:rsidR="003042A8">
        <w:t xml:space="preserve"> for Promotion</w:t>
      </w:r>
      <w:r w:rsidR="003042A8" w:rsidRPr="003042A8">
        <w:t>”</w:t>
      </w:r>
    </w:p>
    <w:p w:rsidR="003042A8" w:rsidRDefault="00000000" w:rsidP="003042A8">
      <w:pPr>
        <w:pStyle w:val="ListParagraph"/>
        <w:numPr>
          <w:ilvl w:val="3"/>
          <w:numId w:val="1"/>
        </w:numPr>
      </w:pPr>
      <w:hyperlink r:id="rId8" w:history="1">
        <w:r w:rsidR="003042A8" w:rsidRPr="00CE6B3D">
          <w:rPr>
            <w:rStyle w:val="Hyperlink"/>
          </w:rPr>
          <w:t>APT Toolbox</w:t>
        </w:r>
      </w:hyperlink>
      <w:r w:rsidR="003042A8" w:rsidRPr="00CE6B3D">
        <w:t xml:space="preserve"> Section </w:t>
      </w:r>
      <w:r w:rsidR="00CE6B3D" w:rsidRPr="00CE6B3D">
        <w:t>3b</w:t>
      </w:r>
      <w:r w:rsidR="003042A8" w:rsidRPr="00CE6B3D">
        <w:t xml:space="preserve">: </w:t>
      </w:r>
      <w:r w:rsidR="00CE6B3D" w:rsidRPr="00CE6B3D">
        <w:t>“Example of complete dossier”</w:t>
      </w:r>
    </w:p>
    <w:p w:rsidR="00044E39" w:rsidRPr="00CE6B3D" w:rsidRDefault="00000000" w:rsidP="00044E39">
      <w:pPr>
        <w:pStyle w:val="ListParagraph"/>
        <w:numPr>
          <w:ilvl w:val="3"/>
          <w:numId w:val="1"/>
        </w:numPr>
      </w:pPr>
      <w:hyperlink r:id="rId9" w:history="1">
        <w:r w:rsidR="00044E39" w:rsidRPr="003042A8">
          <w:rPr>
            <w:rStyle w:val="Hyperlink"/>
          </w:rPr>
          <w:t>OAA Policies &amp; Procedures Handbook Volume 3</w:t>
        </w:r>
      </w:hyperlink>
      <w:r w:rsidR="00044E39" w:rsidRPr="003042A8">
        <w:t xml:space="preserve"> (pages 16 – 31)</w:t>
      </w:r>
    </w:p>
    <w:p w:rsidR="00053A75" w:rsidRPr="00053A75" w:rsidRDefault="00053A75" w:rsidP="00053A75">
      <w:pPr>
        <w:pStyle w:val="ListParagraph"/>
        <w:ind w:left="810"/>
      </w:pPr>
    </w:p>
    <w:p w:rsidR="00AA57A5" w:rsidRPr="00CE6B3D" w:rsidRDefault="00AA57A5" w:rsidP="004D68CA">
      <w:pPr>
        <w:pStyle w:val="ListParagraph"/>
        <w:numPr>
          <w:ilvl w:val="2"/>
          <w:numId w:val="1"/>
        </w:numPr>
      </w:pPr>
      <w:r w:rsidRPr="00CE6B3D">
        <w:rPr>
          <w:b/>
          <w:bCs/>
        </w:rPr>
        <w:t>Form 109</w:t>
      </w:r>
      <w:r w:rsidRPr="00CE6B3D">
        <w:t xml:space="preserve"> – </w:t>
      </w:r>
      <w:r w:rsidR="009B6789" w:rsidRPr="00CE6B3D">
        <w:t xml:space="preserve">refer to </w:t>
      </w:r>
      <w:hyperlink r:id="rId10" w:history="1">
        <w:r w:rsidR="009B6789" w:rsidRPr="00CE6B3D">
          <w:rPr>
            <w:rStyle w:val="Hyperlink"/>
          </w:rPr>
          <w:t>APT Toolbox</w:t>
        </w:r>
      </w:hyperlink>
      <w:r w:rsidR="00CE6B3D" w:rsidRPr="00CE6B3D">
        <w:t xml:space="preserve"> section 3b</w:t>
      </w:r>
      <w:r w:rsidR="009B6789" w:rsidRPr="00CE6B3D">
        <w:t xml:space="preserve"> for an example of a completed Form 109 </w:t>
      </w:r>
    </w:p>
    <w:p w:rsidR="00053A75" w:rsidRPr="00053A75" w:rsidRDefault="00053A75" w:rsidP="00053A75">
      <w:pPr>
        <w:pStyle w:val="ListParagraph"/>
        <w:ind w:left="810"/>
      </w:pPr>
    </w:p>
    <w:p w:rsidR="002D4A84" w:rsidRPr="00CE6B3D" w:rsidRDefault="002D4A84" w:rsidP="004D68CA">
      <w:pPr>
        <w:pStyle w:val="ListParagraph"/>
        <w:numPr>
          <w:ilvl w:val="2"/>
          <w:numId w:val="1"/>
        </w:numPr>
      </w:pPr>
      <w:r w:rsidRPr="00CE6B3D">
        <w:rPr>
          <w:b/>
        </w:rPr>
        <w:t>Form 105 – issues with signatures</w:t>
      </w:r>
      <w:r w:rsidR="00616F23" w:rsidRPr="00CE6B3D">
        <w:rPr>
          <w:b/>
        </w:rPr>
        <w:t xml:space="preserve"> showing </w:t>
      </w:r>
    </w:p>
    <w:p w:rsidR="002D4A84" w:rsidRPr="007E0D06" w:rsidRDefault="00DD4760" w:rsidP="007E0D06">
      <w:pPr>
        <w:pStyle w:val="ListParagraph"/>
        <w:numPr>
          <w:ilvl w:val="1"/>
          <w:numId w:val="1"/>
        </w:numPr>
      </w:pPr>
      <w:r w:rsidRPr="007E0D06">
        <w:t>S</w:t>
      </w:r>
      <w:r w:rsidR="002D4A84" w:rsidRPr="007E0D06">
        <w:t>elect Print</w:t>
      </w:r>
      <w:r w:rsidR="007E0D06" w:rsidRPr="007E0D06">
        <w:t xml:space="preserve"> &gt; </w:t>
      </w:r>
      <w:r w:rsidR="002D4A84" w:rsidRPr="007E0D06">
        <w:t>print to an Adobe PDF</w:t>
      </w:r>
      <w:r w:rsidR="007E0D06" w:rsidRPr="007E0D06">
        <w:t xml:space="preserve"> &gt; print &gt; </w:t>
      </w:r>
      <w:r w:rsidR="00D76D36" w:rsidRPr="007E0D06">
        <w:t>save as Adobe PDF to your desktop</w:t>
      </w:r>
      <w:r w:rsidR="007E0D06" w:rsidRPr="007E0D06">
        <w:t>/file &gt; once it’s saved, it’s considered “flat” and will not be fillable. You will not be able to make any more changes to it, and the</w:t>
      </w:r>
      <w:r w:rsidR="002D4A84" w:rsidRPr="007E0D06">
        <w:t xml:space="preserve"> digital signature </w:t>
      </w:r>
      <w:r w:rsidR="007E0D06" w:rsidRPr="007E0D06">
        <w:t>will show up.</w:t>
      </w:r>
    </w:p>
    <w:p w:rsidR="00053A75" w:rsidRDefault="00053A75" w:rsidP="00053A75">
      <w:pPr>
        <w:pStyle w:val="ListParagraph"/>
        <w:ind w:left="810"/>
        <w:rPr>
          <w:b/>
        </w:rPr>
      </w:pPr>
    </w:p>
    <w:p w:rsidR="008411F6" w:rsidRDefault="008411F6" w:rsidP="004D68CA">
      <w:pPr>
        <w:pStyle w:val="ListParagraph"/>
        <w:numPr>
          <w:ilvl w:val="2"/>
          <w:numId w:val="1"/>
        </w:numPr>
        <w:rPr>
          <w:b/>
        </w:rPr>
      </w:pPr>
      <w:r w:rsidRPr="007E0D06">
        <w:rPr>
          <w:b/>
        </w:rPr>
        <w:t>Can signatures</w:t>
      </w:r>
      <w:r>
        <w:rPr>
          <w:b/>
        </w:rPr>
        <w:t xml:space="preserve"> on forms be electronic (</w:t>
      </w:r>
      <w:r w:rsidR="00044E39">
        <w:rPr>
          <w:b/>
        </w:rPr>
        <w:t>e.g.,</w:t>
      </w:r>
      <w:r>
        <w:rPr>
          <w:b/>
        </w:rPr>
        <w:t xml:space="preserve"> DocuSign). </w:t>
      </w:r>
      <w:r w:rsidRPr="008411F6">
        <w:t>Yes</w:t>
      </w:r>
    </w:p>
    <w:p w:rsidR="00053A75" w:rsidRDefault="00053A75" w:rsidP="00053A75">
      <w:pPr>
        <w:pStyle w:val="ListParagraph"/>
        <w:ind w:left="810"/>
        <w:rPr>
          <w:b/>
        </w:rPr>
      </w:pPr>
    </w:p>
    <w:p w:rsidR="007D25B1" w:rsidRPr="007D25B1" w:rsidRDefault="00953760" w:rsidP="007D25B1">
      <w:pPr>
        <w:pStyle w:val="ListParagraph"/>
        <w:numPr>
          <w:ilvl w:val="2"/>
          <w:numId w:val="1"/>
        </w:numPr>
        <w:rPr>
          <w:b/>
        </w:rPr>
      </w:pPr>
      <w:r w:rsidRPr="00C02B9A">
        <w:rPr>
          <w:b/>
        </w:rPr>
        <w:t>Where do we put a</w:t>
      </w:r>
      <w:r>
        <w:rPr>
          <w:b/>
        </w:rPr>
        <w:t>n external evaluation</w:t>
      </w:r>
      <w:r w:rsidRPr="00C02B9A">
        <w:rPr>
          <w:b/>
        </w:rPr>
        <w:t xml:space="preserve"> letter we received that we cannot use due to rank or a conflict?</w:t>
      </w:r>
      <w:r>
        <w:rPr>
          <w:b/>
        </w:rPr>
        <w:t xml:space="preserve"> </w:t>
      </w:r>
      <w:r w:rsidRPr="00953760">
        <w:rPr>
          <w:bCs/>
        </w:rPr>
        <w:t>See below under external evaluations.</w:t>
      </w:r>
      <w:r>
        <w:rPr>
          <w:b/>
        </w:rPr>
        <w:t xml:space="preserve"> </w:t>
      </w:r>
    </w:p>
    <w:p w:rsidR="007D25B1" w:rsidRPr="007D25B1" w:rsidRDefault="007D25B1" w:rsidP="007D25B1">
      <w:pPr>
        <w:pStyle w:val="ListParagraph"/>
        <w:ind w:left="810"/>
        <w:rPr>
          <w:b/>
        </w:rPr>
      </w:pPr>
    </w:p>
    <w:p w:rsidR="00DB2270" w:rsidRPr="001A75C2" w:rsidRDefault="00DB2270" w:rsidP="00DB2270">
      <w:pPr>
        <w:pStyle w:val="ListParagraph"/>
        <w:numPr>
          <w:ilvl w:val="2"/>
          <w:numId w:val="1"/>
        </w:numPr>
        <w:rPr>
          <w:b/>
        </w:rPr>
      </w:pPr>
      <w:r>
        <w:rPr>
          <w:b/>
        </w:rPr>
        <w:t xml:space="preserve">Do we use </w:t>
      </w:r>
      <w:r w:rsidR="005E590A">
        <w:rPr>
          <w:b/>
        </w:rPr>
        <w:t>c</w:t>
      </w:r>
      <w:r w:rsidRPr="001A75C2">
        <w:rPr>
          <w:b/>
        </w:rPr>
        <w:t xml:space="preserve">hronological vs. reverse chronological? </w:t>
      </w:r>
    </w:p>
    <w:p w:rsidR="00DB2270" w:rsidRDefault="00DB2270" w:rsidP="00DB2270">
      <w:pPr>
        <w:pStyle w:val="ListParagraph"/>
        <w:numPr>
          <w:ilvl w:val="3"/>
          <w:numId w:val="1"/>
        </w:numPr>
      </w:pPr>
      <w:r>
        <w:t>Only annual reviews are in chronological order (oldest to newest)</w:t>
      </w:r>
    </w:p>
    <w:p w:rsidR="00603A53" w:rsidRDefault="00603A53" w:rsidP="00603A53">
      <w:pPr>
        <w:pStyle w:val="ListParagraph"/>
        <w:numPr>
          <w:ilvl w:val="3"/>
          <w:numId w:val="1"/>
        </w:numPr>
      </w:pPr>
      <w:r>
        <w:t>Core dossier is reverse chronological order (newest to oldest)</w:t>
      </w:r>
    </w:p>
    <w:p w:rsidR="00603A53" w:rsidRDefault="00603A53" w:rsidP="00603A53">
      <w:pPr>
        <w:pStyle w:val="ListParagraph"/>
        <w:numPr>
          <w:ilvl w:val="3"/>
          <w:numId w:val="1"/>
        </w:numPr>
      </w:pPr>
      <w:r>
        <w:t xml:space="preserve">Peer &amp; Student </w:t>
      </w:r>
      <w:r w:rsidR="009C3D65">
        <w:t>evaluations</w:t>
      </w:r>
      <w:r>
        <w:t xml:space="preserve"> are reverse chronological order (newest to oldest)</w:t>
      </w:r>
    </w:p>
    <w:p w:rsidR="00053A75" w:rsidRPr="00053A75" w:rsidRDefault="00053A75" w:rsidP="00053A75">
      <w:pPr>
        <w:pStyle w:val="ListParagraph"/>
        <w:ind w:left="810"/>
      </w:pPr>
    </w:p>
    <w:p w:rsidR="00DB2270" w:rsidRDefault="00DB2270" w:rsidP="00DB2270">
      <w:pPr>
        <w:pStyle w:val="ListParagraph"/>
        <w:numPr>
          <w:ilvl w:val="2"/>
          <w:numId w:val="1"/>
        </w:numPr>
      </w:pPr>
      <w:r w:rsidRPr="001A75C2">
        <w:rPr>
          <w:b/>
        </w:rPr>
        <w:t xml:space="preserve">Which APT document/criteria </w:t>
      </w:r>
      <w:r>
        <w:rPr>
          <w:b/>
        </w:rPr>
        <w:t>may</w:t>
      </w:r>
      <w:r w:rsidRPr="001A75C2">
        <w:rPr>
          <w:b/>
        </w:rPr>
        <w:t xml:space="preserve"> be used?</w:t>
      </w:r>
      <w:r>
        <w:t xml:space="preserve"> Candidates may submit their TIU’s current APT document; or, alternatively, they may elect to be reviewed under either (a) the APT document that was in effect on their start date, or (b) the APT document that was in effect on the date of their last promotion, whichever of these two latter documents is the more recent. However, the current APT document must be used if the letter of offer or last promotion, whichever is more recent, was more than 10 years before April 1 of the review year. </w:t>
      </w:r>
    </w:p>
    <w:p w:rsidR="00DB2270" w:rsidRDefault="00DB2270" w:rsidP="00DB2270">
      <w:pPr>
        <w:pStyle w:val="ListParagraph"/>
        <w:ind w:left="810"/>
      </w:pPr>
      <w:r>
        <w:t xml:space="preserve">*It is the candidate’s responsible to have retained a copy of the APT document for which they want to be reviewed. </w:t>
      </w:r>
    </w:p>
    <w:p w:rsidR="009C3D65" w:rsidRDefault="009C3D65" w:rsidP="00DB2270">
      <w:pPr>
        <w:pStyle w:val="ListParagraph"/>
        <w:ind w:left="810"/>
      </w:pPr>
    </w:p>
    <w:p w:rsidR="00952DE5" w:rsidRDefault="00952DE5" w:rsidP="00952DE5">
      <w:pPr>
        <w:pStyle w:val="ListParagraph"/>
        <w:numPr>
          <w:ilvl w:val="2"/>
          <w:numId w:val="1"/>
        </w:numPr>
      </w:pPr>
      <w:r w:rsidRPr="008B433A">
        <w:rPr>
          <w:b/>
        </w:rPr>
        <w:t>When is cutoff for faculty to add new info to dossier?</w:t>
      </w:r>
      <w:r w:rsidRPr="008B433A">
        <w:t xml:space="preserve"> Faculty can no longer make any changes or additions to the dossier once it has been submitted to the department for the faculty review. After that point, faculty can only add to the information already in the dossier during the comments period on the comments forms (after department review and college review). E.g. if a grant that was listed as pending in their core dossier is awarded</w:t>
      </w:r>
    </w:p>
    <w:p w:rsidR="00053A75" w:rsidRPr="00053A75" w:rsidRDefault="00053A75" w:rsidP="00053A75">
      <w:pPr>
        <w:pStyle w:val="ListParagraph"/>
        <w:ind w:left="810"/>
      </w:pPr>
    </w:p>
    <w:p w:rsidR="00053A75" w:rsidRPr="00CD0E1C" w:rsidRDefault="00053A75" w:rsidP="00952DE5">
      <w:pPr>
        <w:pStyle w:val="ListParagraph"/>
        <w:numPr>
          <w:ilvl w:val="2"/>
          <w:numId w:val="1"/>
        </w:numPr>
      </w:pPr>
      <w:r>
        <w:rPr>
          <w:b/>
        </w:rPr>
        <w:t>When can a faculty see their dossier during the process.</w:t>
      </w:r>
      <w:r>
        <w:t xml:space="preserve"> See below under Process questions. </w:t>
      </w:r>
    </w:p>
    <w:p w:rsidR="00DB2270" w:rsidRDefault="00DB2270" w:rsidP="00DB2270"/>
    <w:p w:rsidR="00DB2270" w:rsidRPr="00C81B47" w:rsidRDefault="00DB2270" w:rsidP="00DB2270">
      <w:pPr>
        <w:rPr>
          <w:b/>
          <w:bCs/>
          <w:sz w:val="28"/>
          <w:szCs w:val="28"/>
          <w:u w:val="single"/>
        </w:rPr>
      </w:pPr>
      <w:bookmarkStart w:id="2" w:name="Narratives"/>
      <w:r w:rsidRPr="00C81B47">
        <w:rPr>
          <w:b/>
          <w:bCs/>
          <w:sz w:val="28"/>
          <w:szCs w:val="28"/>
          <w:u w:val="single"/>
        </w:rPr>
        <w:t xml:space="preserve">Narratives </w:t>
      </w:r>
    </w:p>
    <w:bookmarkEnd w:id="2"/>
    <w:p w:rsidR="00DB2270" w:rsidRDefault="00DB2270" w:rsidP="00DB2270">
      <w:pPr>
        <w:pStyle w:val="ListParagraph"/>
        <w:numPr>
          <w:ilvl w:val="2"/>
          <w:numId w:val="1"/>
        </w:numPr>
        <w:rPr>
          <w:b/>
        </w:rPr>
      </w:pPr>
      <w:r>
        <w:rPr>
          <w:b/>
        </w:rPr>
        <w:t xml:space="preserve">How to advise faculty to write their </w:t>
      </w:r>
      <w:r w:rsidRPr="008B433A">
        <w:rPr>
          <w:b/>
        </w:rPr>
        <w:t>Biographical Narrative</w:t>
      </w:r>
    </w:p>
    <w:p w:rsidR="00DB2270" w:rsidRPr="000478D4" w:rsidRDefault="00DB2270" w:rsidP="00DB2270">
      <w:pPr>
        <w:pStyle w:val="ListParagraph"/>
        <w:numPr>
          <w:ilvl w:val="3"/>
          <w:numId w:val="1"/>
        </w:numPr>
        <w:rPr>
          <w:b/>
        </w:rPr>
      </w:pPr>
      <w:r w:rsidRPr="00102021">
        <w:rPr>
          <w:bCs/>
        </w:rPr>
        <w:t xml:space="preserve">Refer to the </w:t>
      </w:r>
      <w:hyperlink r:id="rId11" w:history="1">
        <w:r w:rsidRPr="00102021">
          <w:rPr>
            <w:rStyle w:val="Hyperlink"/>
            <w:bCs/>
          </w:rPr>
          <w:t>APT Toolbox</w:t>
        </w:r>
      </w:hyperlink>
      <w:r w:rsidRPr="00102021">
        <w:rPr>
          <w:bCs/>
        </w:rPr>
        <w:t xml:space="preserve"> section 3 (a)</w:t>
      </w:r>
      <w:r w:rsidRPr="00102021">
        <w:rPr>
          <w:b/>
        </w:rPr>
        <w:t xml:space="preserve">. </w:t>
      </w:r>
      <w:r w:rsidRPr="00102021">
        <w:rPr>
          <w:bCs/>
        </w:rPr>
        <w:t>Specifically</w:t>
      </w:r>
      <w:r w:rsidRPr="00102021">
        <w:rPr>
          <w:b/>
        </w:rPr>
        <w:t xml:space="preserve"> </w:t>
      </w:r>
      <w:r w:rsidRPr="00102021">
        <w:rPr>
          <w:bCs/>
        </w:rPr>
        <w:t>Building Narratives Overview and Presentation as well as the Clinical Excellence guideline for writing narrative.</w:t>
      </w:r>
    </w:p>
    <w:p w:rsidR="00053A75" w:rsidRDefault="00DB2270" w:rsidP="00DB2270">
      <w:pPr>
        <w:pStyle w:val="ListParagraph"/>
        <w:numPr>
          <w:ilvl w:val="3"/>
          <w:numId w:val="1"/>
        </w:numPr>
        <w:rPr>
          <w:b/>
        </w:rPr>
      </w:pPr>
      <w:r>
        <w:rPr>
          <w:bCs/>
        </w:rPr>
        <w:t xml:space="preserve">Refer to Insider’s Guide to Core Dossier in </w:t>
      </w:r>
      <w:r w:rsidRPr="00102021">
        <w:rPr>
          <w:bCs/>
        </w:rPr>
        <w:t xml:space="preserve">the </w:t>
      </w:r>
      <w:hyperlink r:id="rId12" w:history="1">
        <w:r w:rsidRPr="00102021">
          <w:rPr>
            <w:rStyle w:val="Hyperlink"/>
            <w:bCs/>
          </w:rPr>
          <w:t>APT Toolbox</w:t>
        </w:r>
      </w:hyperlink>
      <w:r w:rsidRPr="00102021">
        <w:rPr>
          <w:bCs/>
        </w:rPr>
        <w:t xml:space="preserve"> section 3 (a)</w:t>
      </w:r>
      <w:r w:rsidRPr="00102021">
        <w:rPr>
          <w:b/>
        </w:rPr>
        <w:t>.</w:t>
      </w:r>
    </w:p>
    <w:p w:rsidR="009C3D65" w:rsidRPr="009C3D65" w:rsidRDefault="009C3D65" w:rsidP="009C3D65">
      <w:pPr>
        <w:pStyle w:val="ListParagraph"/>
        <w:ind w:left="1800"/>
        <w:rPr>
          <w:b/>
        </w:rPr>
      </w:pPr>
    </w:p>
    <w:p w:rsidR="00DB2270" w:rsidRPr="00C81B47" w:rsidRDefault="00DB2270" w:rsidP="00DB2270">
      <w:pPr>
        <w:rPr>
          <w:b/>
          <w:bCs/>
          <w:sz w:val="28"/>
          <w:szCs w:val="28"/>
          <w:u w:val="single"/>
        </w:rPr>
      </w:pPr>
      <w:bookmarkStart w:id="3" w:name="Core_dossier"/>
      <w:r w:rsidRPr="00C81B47">
        <w:rPr>
          <w:b/>
          <w:bCs/>
          <w:sz w:val="28"/>
          <w:szCs w:val="28"/>
          <w:u w:val="single"/>
        </w:rPr>
        <w:t>Core Dossier</w:t>
      </w:r>
      <w:bookmarkEnd w:id="3"/>
      <w:r w:rsidRPr="00C81B47">
        <w:rPr>
          <w:b/>
          <w:bCs/>
          <w:sz w:val="28"/>
          <w:szCs w:val="28"/>
          <w:u w:val="single"/>
        </w:rPr>
        <w:t xml:space="preserve">: </w:t>
      </w:r>
    </w:p>
    <w:p w:rsidR="00DB2270" w:rsidRDefault="00DB2270" w:rsidP="00DB2270">
      <w:pPr>
        <w:pStyle w:val="ListParagraph"/>
        <w:numPr>
          <w:ilvl w:val="2"/>
          <w:numId w:val="1"/>
        </w:numPr>
        <w:rPr>
          <w:b/>
          <w:bCs/>
        </w:rPr>
      </w:pPr>
      <w:r w:rsidRPr="00C81B47">
        <w:rPr>
          <w:b/>
          <w:bCs/>
        </w:rPr>
        <w:t>Please refer to the Insider’s Guide</w:t>
      </w:r>
      <w:r>
        <w:rPr>
          <w:b/>
          <w:bCs/>
        </w:rPr>
        <w:t xml:space="preserve"> to the Core Dossier</w:t>
      </w:r>
      <w:r w:rsidRPr="00C81B47">
        <w:rPr>
          <w:b/>
          <w:bCs/>
        </w:rPr>
        <w:t xml:space="preserve"> </w:t>
      </w:r>
      <w:r>
        <w:rPr>
          <w:b/>
          <w:bCs/>
        </w:rPr>
        <w:t xml:space="preserve">located on the </w:t>
      </w:r>
      <w:hyperlink r:id="rId13" w:history="1">
        <w:r w:rsidRPr="00DB2270">
          <w:rPr>
            <w:rStyle w:val="Hyperlink"/>
            <w:b/>
            <w:bCs/>
          </w:rPr>
          <w:t>APT Toolbox section 3a</w:t>
        </w:r>
      </w:hyperlink>
      <w:r>
        <w:rPr>
          <w:b/>
          <w:bCs/>
        </w:rPr>
        <w:t xml:space="preserve"> </w:t>
      </w:r>
      <w:r w:rsidRPr="00C81B47">
        <w:rPr>
          <w:b/>
          <w:bCs/>
        </w:rPr>
        <w:t xml:space="preserve">for a complete &amp; thorough guide on </w:t>
      </w:r>
      <w:r w:rsidR="008123AB">
        <w:rPr>
          <w:b/>
          <w:bCs/>
        </w:rPr>
        <w:t>each</w:t>
      </w:r>
      <w:r w:rsidR="008123AB" w:rsidRPr="00C81B47">
        <w:rPr>
          <w:b/>
          <w:bCs/>
        </w:rPr>
        <w:t xml:space="preserve"> </w:t>
      </w:r>
      <w:r w:rsidRPr="00C81B47">
        <w:rPr>
          <w:b/>
          <w:bCs/>
        </w:rPr>
        <w:t xml:space="preserve">section of the core dossier. </w:t>
      </w:r>
    </w:p>
    <w:p w:rsidR="009826FC" w:rsidRPr="00DB2270" w:rsidRDefault="009826FC" w:rsidP="00C81B47">
      <w:pPr>
        <w:pStyle w:val="ListParagraph"/>
        <w:ind w:left="810"/>
        <w:rPr>
          <w:b/>
          <w:bCs/>
        </w:rPr>
      </w:pPr>
    </w:p>
    <w:p w:rsidR="00952DE5" w:rsidRDefault="00E92FF4" w:rsidP="00053A75">
      <w:pPr>
        <w:pStyle w:val="ListParagraph"/>
        <w:numPr>
          <w:ilvl w:val="2"/>
          <w:numId w:val="1"/>
        </w:numPr>
      </w:pPr>
      <w:r w:rsidRPr="00053A75">
        <w:rPr>
          <w:b/>
        </w:rPr>
        <w:t>Is PubMed and Scopus equal in importance</w:t>
      </w:r>
      <w:r>
        <w:t xml:space="preserve">? A: Yes, PubMed and Scopus do not index all the same journals so both can be used if necessary to verify publications. </w:t>
      </w:r>
    </w:p>
    <w:p w:rsidR="009826FC" w:rsidRDefault="009826FC" w:rsidP="00952DE5">
      <w:pPr>
        <w:pStyle w:val="ListParagraph"/>
        <w:ind w:left="810"/>
      </w:pPr>
    </w:p>
    <w:p w:rsidR="00DB2270" w:rsidRPr="00C81B47" w:rsidRDefault="00DB2270" w:rsidP="00DB2270">
      <w:pPr>
        <w:pStyle w:val="ListParagraph"/>
        <w:numPr>
          <w:ilvl w:val="2"/>
          <w:numId w:val="1"/>
        </w:numPr>
        <w:rPr>
          <w:b/>
        </w:rPr>
      </w:pPr>
      <w:r w:rsidRPr="00C81B47">
        <w:rPr>
          <w:b/>
        </w:rPr>
        <w:t>How far back to incorporate information for Core Dossier</w:t>
      </w:r>
      <w:r w:rsidR="00053A75">
        <w:rPr>
          <w:b/>
        </w:rPr>
        <w:t>. This is stated in each of the three sections in the core dossier:</w:t>
      </w:r>
    </w:p>
    <w:p w:rsidR="00DB2270" w:rsidRDefault="00DB2270" w:rsidP="00DB2270">
      <w:pPr>
        <w:pStyle w:val="ListParagraph"/>
        <w:numPr>
          <w:ilvl w:val="3"/>
          <w:numId w:val="1"/>
        </w:numPr>
      </w:pPr>
      <w:r>
        <w:t xml:space="preserve">Teaching section: </w:t>
      </w:r>
      <w:r w:rsidRPr="003660CF">
        <w:t>except for sections #2 &amp; #3, information to be included will be from date of appointment, last promotion, or the past 5 years, whichever is the shortest</w:t>
      </w:r>
      <w:r>
        <w:t>.</w:t>
      </w:r>
    </w:p>
    <w:p w:rsidR="00DB2270" w:rsidRDefault="00DB2270" w:rsidP="00DB2270">
      <w:pPr>
        <w:pStyle w:val="ListParagraph"/>
        <w:numPr>
          <w:ilvl w:val="0"/>
          <w:numId w:val="3"/>
        </w:numPr>
      </w:pPr>
      <w:r>
        <w:t xml:space="preserve">The research and scholarship section is a full history of publications and creative work and it should clearly denote outcomes from appointment or last promotion at Ohio State. </w:t>
      </w:r>
    </w:p>
    <w:p w:rsidR="00DB2270" w:rsidRDefault="00DB2270" w:rsidP="00DB2270">
      <w:pPr>
        <w:pStyle w:val="ListParagraph"/>
        <w:numPr>
          <w:ilvl w:val="0"/>
          <w:numId w:val="3"/>
        </w:numPr>
      </w:pPr>
      <w:r>
        <w:t>Service &amp; Engagement – entire career at OSU</w:t>
      </w:r>
    </w:p>
    <w:p w:rsidR="00DB2270" w:rsidRDefault="00DB2270" w:rsidP="00DB2270"/>
    <w:p w:rsidR="00DB2270" w:rsidRDefault="00582084" w:rsidP="00C81B47">
      <w:bookmarkStart w:id="4" w:name="Annual_Reviews"/>
      <w:r>
        <w:rPr>
          <w:b/>
          <w:bCs/>
          <w:sz w:val="28"/>
          <w:szCs w:val="28"/>
          <w:u w:val="single"/>
        </w:rPr>
        <w:t xml:space="preserve">Internal Letters of Evaluation </w:t>
      </w:r>
      <w:bookmarkEnd w:id="4"/>
    </w:p>
    <w:p w:rsidR="00EC0640" w:rsidRPr="008B433A" w:rsidRDefault="00EC0640" w:rsidP="00EC0640">
      <w:pPr>
        <w:pStyle w:val="ListParagraph"/>
        <w:numPr>
          <w:ilvl w:val="2"/>
          <w:numId w:val="1"/>
        </w:numPr>
        <w:rPr>
          <w:b/>
        </w:rPr>
      </w:pPr>
      <w:r w:rsidRPr="008B433A">
        <w:rPr>
          <w:b/>
        </w:rPr>
        <w:t xml:space="preserve">How far back </w:t>
      </w:r>
      <w:r w:rsidR="001C3859" w:rsidRPr="008B433A">
        <w:rPr>
          <w:b/>
        </w:rPr>
        <w:t>to include</w:t>
      </w:r>
      <w:r w:rsidRPr="008B433A">
        <w:rPr>
          <w:b/>
        </w:rPr>
        <w:t xml:space="preserve"> annual reviews? </w:t>
      </w:r>
    </w:p>
    <w:p w:rsidR="00EC0640" w:rsidRDefault="00BB38C3" w:rsidP="00EC0640">
      <w:pPr>
        <w:pStyle w:val="ListParagraph"/>
        <w:numPr>
          <w:ilvl w:val="3"/>
          <w:numId w:val="1"/>
        </w:numPr>
      </w:pPr>
      <w:bookmarkStart w:id="5" w:name="_Hlk132115744"/>
      <w:r>
        <w:t>Probationary t</w:t>
      </w:r>
      <w:r w:rsidR="0070282E">
        <w:t xml:space="preserve">enure track </w:t>
      </w:r>
      <w:r>
        <w:t xml:space="preserve">faculty (i.e. </w:t>
      </w:r>
      <w:r w:rsidR="001C3859">
        <w:t xml:space="preserve">Assistant </w:t>
      </w:r>
      <w:r w:rsidR="00741384">
        <w:t xml:space="preserve">&amp; Associate </w:t>
      </w:r>
      <w:r w:rsidR="001C3859">
        <w:t>Professor</w:t>
      </w:r>
      <w:r w:rsidR="00741384">
        <w:t xml:space="preserve">s </w:t>
      </w:r>
      <w:r>
        <w:rPr>
          <w:u w:val="single"/>
        </w:rPr>
        <w:t>in advance of tenure</w:t>
      </w:r>
      <w:r w:rsidR="00765BDE">
        <w:rPr>
          <w:u w:val="single"/>
        </w:rPr>
        <w:t>)</w:t>
      </w:r>
      <w:r w:rsidR="001C3859">
        <w:t xml:space="preserve"> = include all annual reviews since date of hire</w:t>
      </w:r>
    </w:p>
    <w:p w:rsidR="00741384" w:rsidRDefault="00741384" w:rsidP="00741384">
      <w:pPr>
        <w:pStyle w:val="ListParagraph"/>
        <w:numPr>
          <w:ilvl w:val="3"/>
          <w:numId w:val="1"/>
        </w:numPr>
      </w:pPr>
      <w:r>
        <w:t>Faculty with tenure (aka tenured) –</w:t>
      </w:r>
      <w:r w:rsidRPr="00741384">
        <w:t xml:space="preserve"> </w:t>
      </w:r>
      <w:r>
        <w:t>all annual reviews since last OSU promotion or date of hire with tenure, not to exceed the most recent 5 years.</w:t>
      </w:r>
    </w:p>
    <w:p w:rsidR="00EC0640" w:rsidRDefault="0070282E" w:rsidP="00BB38C3">
      <w:pPr>
        <w:pStyle w:val="ListParagraph"/>
        <w:numPr>
          <w:ilvl w:val="3"/>
          <w:numId w:val="1"/>
        </w:numPr>
      </w:pPr>
      <w:r>
        <w:t xml:space="preserve">Clinical &amp; Research track = </w:t>
      </w:r>
      <w:r w:rsidR="003A51F8">
        <w:t>all annual reviews since date of hire or last OSU promotion, not to exceed the most recent 5 years</w:t>
      </w:r>
      <w:bookmarkStart w:id="6" w:name="_Hlk128044938"/>
    </w:p>
    <w:bookmarkEnd w:id="6"/>
    <w:p w:rsidR="00387703" w:rsidRDefault="00387703" w:rsidP="00EC0640">
      <w:pPr>
        <w:pStyle w:val="ListParagraph"/>
        <w:numPr>
          <w:ilvl w:val="3"/>
          <w:numId w:val="1"/>
        </w:numPr>
      </w:pPr>
      <w:r>
        <w:t>If any</w:t>
      </w:r>
      <w:r w:rsidR="001B4D0C">
        <w:t xml:space="preserve"> annual reviews</w:t>
      </w:r>
      <w:r>
        <w:t xml:space="preserve"> are missing, include a letter</w:t>
      </w:r>
      <w:r w:rsidR="001B4D0C">
        <w:t xml:space="preserve"> explaining why</w:t>
      </w:r>
      <w:r>
        <w:t xml:space="preserve">. </w:t>
      </w:r>
    </w:p>
    <w:bookmarkEnd w:id="5"/>
    <w:p w:rsidR="00952DE5" w:rsidRDefault="00952DE5" w:rsidP="00952DE5">
      <w:pPr>
        <w:pStyle w:val="ListParagraph"/>
        <w:ind w:left="1800"/>
      </w:pPr>
    </w:p>
    <w:p w:rsidR="00BA4539" w:rsidRDefault="00BA4539" w:rsidP="00645634">
      <w:pPr>
        <w:pStyle w:val="ListParagraph"/>
        <w:numPr>
          <w:ilvl w:val="2"/>
          <w:numId w:val="1"/>
        </w:numPr>
        <w:rPr>
          <w:b/>
        </w:rPr>
      </w:pPr>
      <w:r>
        <w:rPr>
          <w:b/>
        </w:rPr>
        <w:t>What to include in each section?</w:t>
      </w:r>
    </w:p>
    <w:p w:rsidR="00BA4539" w:rsidRPr="00BA4539" w:rsidRDefault="0022446D" w:rsidP="00BA4539">
      <w:pPr>
        <w:pStyle w:val="ListParagraph"/>
        <w:numPr>
          <w:ilvl w:val="3"/>
          <w:numId w:val="1"/>
        </w:numPr>
        <w:rPr>
          <w:b/>
        </w:rPr>
      </w:pPr>
      <w:r w:rsidRPr="005B6CA7">
        <w:rPr>
          <w:b/>
        </w:rPr>
        <w:t xml:space="preserve">Written documents submitted as part of annual review. </w:t>
      </w:r>
      <w:r w:rsidR="00886FAC">
        <w:t xml:space="preserve">It is common not to have anything in this section. Example of what may be included is </w:t>
      </w:r>
      <w:r w:rsidR="00886FAC">
        <w:rPr>
          <w:bCs/>
        </w:rPr>
        <w:t>i</w:t>
      </w:r>
      <w:r w:rsidR="00886FAC" w:rsidRPr="00C81B47">
        <w:rPr>
          <w:bCs/>
        </w:rPr>
        <w:t>f faculty have a response to their annual review letter, it would go</w:t>
      </w:r>
      <w:r w:rsidR="00886FAC" w:rsidRPr="00886FAC">
        <w:rPr>
          <w:bCs/>
        </w:rPr>
        <w:t xml:space="preserve"> </w:t>
      </w:r>
      <w:r w:rsidR="00886FAC" w:rsidRPr="00C81B47">
        <w:rPr>
          <w:bCs/>
        </w:rPr>
        <w:t>in this section</w:t>
      </w:r>
      <w:r w:rsidR="00886FAC">
        <w:rPr>
          <w:bCs/>
        </w:rPr>
        <w:t xml:space="preserve">. </w:t>
      </w:r>
      <w:r w:rsidR="00886FAC" w:rsidRPr="00886FAC">
        <w:rPr>
          <w:bCs/>
        </w:rPr>
        <w:t xml:space="preserve">Do </w:t>
      </w:r>
      <w:r w:rsidR="00886FAC" w:rsidRPr="00C81B47">
        <w:rPr>
          <w:bCs/>
          <w:u w:val="single"/>
        </w:rPr>
        <w:t>not</w:t>
      </w:r>
      <w:r w:rsidR="00886FAC" w:rsidRPr="00886FAC">
        <w:rPr>
          <w:bCs/>
        </w:rPr>
        <w:t xml:space="preserve"> include what the department requested the faculty candidate to submit in advance of their annual review</w:t>
      </w:r>
    </w:p>
    <w:p w:rsidR="00645634" w:rsidRPr="00BA4539" w:rsidRDefault="00645634" w:rsidP="00BA4539">
      <w:pPr>
        <w:pStyle w:val="ListParagraph"/>
        <w:numPr>
          <w:ilvl w:val="3"/>
          <w:numId w:val="1"/>
        </w:numPr>
        <w:rPr>
          <w:b/>
        </w:rPr>
      </w:pPr>
      <w:r w:rsidRPr="00BA4539">
        <w:rPr>
          <w:b/>
        </w:rPr>
        <w:t xml:space="preserve">Fourth </w:t>
      </w:r>
      <w:r w:rsidR="009C3D65">
        <w:rPr>
          <w:b/>
        </w:rPr>
        <w:t>y</w:t>
      </w:r>
      <w:r w:rsidRPr="00BA4539">
        <w:rPr>
          <w:b/>
        </w:rPr>
        <w:t xml:space="preserve">ear </w:t>
      </w:r>
      <w:r w:rsidR="009C3D65">
        <w:rPr>
          <w:b/>
        </w:rPr>
        <w:t>r</w:t>
      </w:r>
      <w:r w:rsidRPr="00BA4539">
        <w:rPr>
          <w:b/>
        </w:rPr>
        <w:t xml:space="preserve">eview letter. </w:t>
      </w:r>
      <w:r w:rsidR="009C3D65" w:rsidRPr="009C3D65">
        <w:rPr>
          <w:bCs/>
        </w:rPr>
        <w:t>This is for</w:t>
      </w:r>
      <w:r w:rsidR="009C3D65">
        <w:rPr>
          <w:b/>
        </w:rPr>
        <w:t xml:space="preserve"> </w:t>
      </w:r>
      <w:r w:rsidR="009C3D65">
        <w:rPr>
          <w:bCs/>
        </w:rPr>
        <w:t>t</w:t>
      </w:r>
      <w:r w:rsidRPr="00BA4539">
        <w:rPr>
          <w:bCs/>
        </w:rPr>
        <w:t>enure track only. Include 4</w:t>
      </w:r>
      <w:r w:rsidRPr="00BA4539">
        <w:rPr>
          <w:bCs/>
          <w:vertAlign w:val="superscript"/>
        </w:rPr>
        <w:t>th</w:t>
      </w:r>
      <w:r w:rsidRPr="00BA4539">
        <w:rPr>
          <w:bCs/>
        </w:rPr>
        <w:t xml:space="preserve"> </w:t>
      </w:r>
      <w:r w:rsidR="0083656B">
        <w:rPr>
          <w:bCs/>
        </w:rPr>
        <w:t>(</w:t>
      </w:r>
      <w:r w:rsidRPr="00BA4539">
        <w:rPr>
          <w:bCs/>
        </w:rPr>
        <w:t>&amp; 8</w:t>
      </w:r>
      <w:r w:rsidRPr="00BA4539">
        <w:rPr>
          <w:bCs/>
          <w:vertAlign w:val="superscript"/>
        </w:rPr>
        <w:t>th</w:t>
      </w:r>
      <w:r w:rsidRPr="00BA4539">
        <w:rPr>
          <w:bCs/>
        </w:rPr>
        <w:t xml:space="preserve"> year</w:t>
      </w:r>
      <w:r w:rsidR="0083656B">
        <w:rPr>
          <w:bCs/>
        </w:rPr>
        <w:t xml:space="preserve">, </w:t>
      </w:r>
      <w:r w:rsidRPr="00BA4539">
        <w:rPr>
          <w:bCs/>
        </w:rPr>
        <w:t>if applicable) review letters</w:t>
      </w:r>
      <w:r w:rsidR="0083656B">
        <w:rPr>
          <w:bCs/>
        </w:rPr>
        <w:t xml:space="preserve"> which include</w:t>
      </w:r>
      <w:r w:rsidR="0083656B" w:rsidRPr="0083656B">
        <w:rPr>
          <w:b/>
        </w:rPr>
        <w:t xml:space="preserve">: </w:t>
      </w:r>
      <w:r w:rsidR="0083656B" w:rsidRPr="00F83195">
        <w:rPr>
          <w:bCs/>
        </w:rPr>
        <w:t>P&amp;T Chair letter, Department chair letter, and the Dean’s letter.</w:t>
      </w:r>
    </w:p>
    <w:p w:rsidR="00645634" w:rsidRPr="00FF2DEA" w:rsidRDefault="00645634" w:rsidP="00BA4539">
      <w:pPr>
        <w:pStyle w:val="ListParagraph"/>
        <w:numPr>
          <w:ilvl w:val="4"/>
          <w:numId w:val="1"/>
        </w:numPr>
        <w:rPr>
          <w:b/>
        </w:rPr>
      </w:pPr>
      <w:r w:rsidRPr="00645634">
        <w:rPr>
          <w:b/>
        </w:rPr>
        <w:t>If a faculty member went up for promotion in lieu of a 4th year review</w:t>
      </w:r>
      <w:r>
        <w:rPr>
          <w:b/>
        </w:rPr>
        <w:t xml:space="preserve">. </w:t>
      </w:r>
      <w:r w:rsidRPr="00645634">
        <w:rPr>
          <w:bCs/>
        </w:rPr>
        <w:t>Insert a cover sheet stating the year the faculty member was scheduled for their 4th year review and that they went up for promotion in lieu of the 4</w:t>
      </w:r>
      <w:r w:rsidRPr="00645634">
        <w:rPr>
          <w:bCs/>
          <w:vertAlign w:val="superscript"/>
        </w:rPr>
        <w:t>th</w:t>
      </w:r>
      <w:r w:rsidRPr="00645634">
        <w:rPr>
          <w:bCs/>
        </w:rPr>
        <w:t xml:space="preserve"> year review.</w:t>
      </w:r>
    </w:p>
    <w:p w:rsidR="000B4C0B" w:rsidRPr="00FF2DEA" w:rsidRDefault="000B4C0B" w:rsidP="00BA4539">
      <w:pPr>
        <w:pStyle w:val="ListParagraph"/>
        <w:numPr>
          <w:ilvl w:val="4"/>
          <w:numId w:val="1"/>
        </w:numPr>
        <w:rPr>
          <w:bCs/>
        </w:rPr>
      </w:pPr>
      <w:r w:rsidRPr="00FF2DEA">
        <w:rPr>
          <w:bCs/>
        </w:rPr>
        <w:t>If faculty is already tenured and going up for promotion to Professor only, 4th &amp; 8th year reviews are not required.</w:t>
      </w:r>
    </w:p>
    <w:p w:rsidR="00BA4539" w:rsidRDefault="00BA4539" w:rsidP="00BA4539">
      <w:pPr>
        <w:pStyle w:val="ListParagraph"/>
        <w:rPr>
          <w:b/>
        </w:rPr>
      </w:pPr>
    </w:p>
    <w:p w:rsidR="00BA4539" w:rsidRDefault="00BA4539" w:rsidP="00BA4539">
      <w:pPr>
        <w:pStyle w:val="ListParagraph"/>
        <w:numPr>
          <w:ilvl w:val="0"/>
          <w:numId w:val="18"/>
        </w:numPr>
        <w:rPr>
          <w:b/>
        </w:rPr>
      </w:pPr>
      <w:r>
        <w:rPr>
          <w:b/>
        </w:rPr>
        <w:t xml:space="preserve">Additional letters requested by the candidate and solicited by the TIU Chair. </w:t>
      </w:r>
      <w:r>
        <w:rPr>
          <w:bCs/>
        </w:rPr>
        <w:t>May not have anything in this section. Examples of what may be included:</w:t>
      </w:r>
    </w:p>
    <w:p w:rsidR="00C02B9A" w:rsidRPr="00BA4539" w:rsidRDefault="00BA4539" w:rsidP="00BA4539">
      <w:pPr>
        <w:pStyle w:val="ListParagraph"/>
        <w:numPr>
          <w:ilvl w:val="1"/>
          <w:numId w:val="18"/>
        </w:numPr>
        <w:rPr>
          <w:bCs/>
        </w:rPr>
      </w:pPr>
      <w:r w:rsidRPr="00BA4539">
        <w:rPr>
          <w:bCs/>
        </w:rPr>
        <w:t>Letters from division directors (if obtained)</w:t>
      </w:r>
    </w:p>
    <w:p w:rsidR="00BA4539" w:rsidRPr="00BA4539" w:rsidRDefault="00BA4539" w:rsidP="00BA4539">
      <w:pPr>
        <w:pStyle w:val="ListParagraph"/>
        <w:numPr>
          <w:ilvl w:val="1"/>
          <w:numId w:val="18"/>
        </w:numPr>
        <w:rPr>
          <w:bCs/>
        </w:rPr>
      </w:pPr>
      <w:r w:rsidRPr="00BA4539">
        <w:rPr>
          <w:bCs/>
        </w:rPr>
        <w:t>An external evaluation letter that was received after the department vote</w:t>
      </w:r>
      <w:r>
        <w:rPr>
          <w:bCs/>
        </w:rPr>
        <w:t xml:space="preserve">. </w:t>
      </w:r>
      <w:r w:rsidRPr="00BA4539">
        <w:rPr>
          <w:bCs/>
        </w:rPr>
        <w:t>Include cover letter explaining it came in later</w:t>
      </w:r>
    </w:p>
    <w:p w:rsidR="00BA4539" w:rsidRPr="00BA4539" w:rsidRDefault="00BA4539" w:rsidP="00BA4539">
      <w:pPr>
        <w:pStyle w:val="ListParagraph"/>
        <w:numPr>
          <w:ilvl w:val="1"/>
          <w:numId w:val="18"/>
        </w:numPr>
        <w:rPr>
          <w:bCs/>
        </w:rPr>
      </w:pPr>
      <w:r w:rsidRPr="00BA4539">
        <w:rPr>
          <w:bCs/>
        </w:rPr>
        <w:t>An external evaluation letter that cannot be used due to rank or a conflict of interest. Include cover letter explaining why it could not be used</w:t>
      </w:r>
    </w:p>
    <w:p w:rsidR="001314C1" w:rsidRDefault="001314C1" w:rsidP="001314C1">
      <w:pPr>
        <w:rPr>
          <w:b/>
          <w:bCs/>
          <w:sz w:val="28"/>
          <w:szCs w:val="28"/>
          <w:u w:val="single"/>
        </w:rPr>
      </w:pPr>
    </w:p>
    <w:p w:rsidR="001314C1" w:rsidRPr="00C81B47" w:rsidRDefault="001314C1" w:rsidP="001314C1">
      <w:pPr>
        <w:rPr>
          <w:b/>
          <w:bCs/>
          <w:sz w:val="28"/>
          <w:szCs w:val="28"/>
          <w:u w:val="single"/>
        </w:rPr>
      </w:pPr>
      <w:bookmarkStart w:id="7" w:name="Peer_evaluations"/>
      <w:r>
        <w:rPr>
          <w:b/>
          <w:bCs/>
          <w:sz w:val="28"/>
          <w:szCs w:val="28"/>
          <w:u w:val="single"/>
        </w:rPr>
        <w:t>Internal Letters of Evaluation – Peer Evaluations</w:t>
      </w:r>
    </w:p>
    <w:p w:rsidR="001314C1" w:rsidRDefault="001314C1" w:rsidP="001314C1">
      <w:pPr>
        <w:pStyle w:val="ListParagraph"/>
        <w:numPr>
          <w:ilvl w:val="0"/>
          <w:numId w:val="19"/>
        </w:numPr>
      </w:pPr>
      <w:bookmarkStart w:id="8" w:name="_Hlk128045368"/>
      <w:bookmarkEnd w:id="7"/>
      <w:r w:rsidRPr="00762FDF">
        <w:rPr>
          <w:b/>
          <w:bCs/>
        </w:rPr>
        <w:t>What are peer evaluations</w:t>
      </w:r>
      <w:r>
        <w:t xml:space="preserve">? </w:t>
      </w:r>
      <w:r w:rsidRPr="00762FDF">
        <w:t>Peer evaluations of teaching are completed by peers of your rank or higher. These assessments are used to evaluate and provide feedback on a particular teaching activity.</w:t>
      </w:r>
      <w:r>
        <w:t xml:space="preserve"> Peers are defined as faculty members. </w:t>
      </w:r>
    </w:p>
    <w:p w:rsidR="001314C1" w:rsidRPr="00A70652" w:rsidRDefault="001314C1" w:rsidP="001314C1">
      <w:pPr>
        <w:pStyle w:val="ListParagraph"/>
      </w:pPr>
    </w:p>
    <w:bookmarkEnd w:id="8"/>
    <w:p w:rsidR="001314C1" w:rsidRDefault="001314C1" w:rsidP="001314C1">
      <w:pPr>
        <w:pStyle w:val="ListParagraph"/>
        <w:numPr>
          <w:ilvl w:val="0"/>
          <w:numId w:val="9"/>
        </w:numPr>
      </w:pPr>
      <w:r w:rsidRPr="00952DE5">
        <w:rPr>
          <w:b/>
        </w:rPr>
        <w:t>Is there a form or specific document</w:t>
      </w:r>
      <w:r w:rsidRPr="00C81B47">
        <w:rPr>
          <w:bCs/>
        </w:rPr>
        <w:t>?</w:t>
      </w:r>
      <w:r w:rsidRPr="008122A9">
        <w:t xml:space="preserve"> Because teaching in the COM can occur at the bedside, in the OR, at a microscope, or at a lectern, there is not one specific form that needs to be used for Peer Evaluation. It can be a standard form a department </w:t>
      </w:r>
      <w:r w:rsidRPr="00E476CC">
        <w:t>uses or it can be in a narrative format that describe</w:t>
      </w:r>
      <w:r w:rsidRPr="00D76D36">
        <w:t>s what teaching activity was being evaluated, the date, and describes the teaching style &amp; activities. E</w:t>
      </w:r>
      <w:r>
        <w:t xml:space="preserve">.g. it could be an email from a peer after a ground rounds or lecture. </w:t>
      </w:r>
    </w:p>
    <w:p w:rsidR="001314C1" w:rsidRDefault="001314C1" w:rsidP="001314C1">
      <w:pPr>
        <w:pStyle w:val="ListParagraph"/>
      </w:pPr>
    </w:p>
    <w:p w:rsidR="001314C1" w:rsidRDefault="001314C1" w:rsidP="001314C1">
      <w:pPr>
        <w:pStyle w:val="ListParagraph"/>
        <w:numPr>
          <w:ilvl w:val="0"/>
          <w:numId w:val="9"/>
        </w:numPr>
      </w:pPr>
      <w:r w:rsidRPr="00C81B47">
        <w:rPr>
          <w:b/>
        </w:rPr>
        <w:t xml:space="preserve">How many peer evaluations of teaching should be in a faculty’s dossier? </w:t>
      </w:r>
      <w:r w:rsidRPr="00C81B47">
        <w:rPr>
          <w:bCs/>
        </w:rPr>
        <w:t xml:space="preserve">Refer to your department’s APT document. As a college, we require </w:t>
      </w:r>
      <w:r>
        <w:t>one per year since new hire, last promotion, or past 5 years (whichever is more recent).</w:t>
      </w:r>
    </w:p>
    <w:p w:rsidR="00BA4539" w:rsidRDefault="00BA4539" w:rsidP="00C02B9A">
      <w:pPr>
        <w:rPr>
          <w:b/>
        </w:rPr>
      </w:pPr>
    </w:p>
    <w:p w:rsidR="00CC70B2" w:rsidRDefault="00CC70B2" w:rsidP="00C02B9A">
      <w:pPr>
        <w:rPr>
          <w:b/>
        </w:rPr>
      </w:pPr>
    </w:p>
    <w:p w:rsidR="00C02B9A" w:rsidRPr="00C02B9A" w:rsidRDefault="00C02B9A" w:rsidP="00C02B9A">
      <w:pPr>
        <w:rPr>
          <w:b/>
          <w:sz w:val="28"/>
          <w:szCs w:val="28"/>
          <w:u w:val="single"/>
        </w:rPr>
      </w:pPr>
      <w:bookmarkStart w:id="9" w:name="Ext_Evals"/>
      <w:r w:rsidRPr="00C02B9A">
        <w:rPr>
          <w:b/>
          <w:sz w:val="28"/>
          <w:szCs w:val="28"/>
          <w:u w:val="single"/>
        </w:rPr>
        <w:t>External Evaluations</w:t>
      </w:r>
    </w:p>
    <w:bookmarkEnd w:id="9"/>
    <w:p w:rsidR="00C02B9A" w:rsidRDefault="00C02B9A" w:rsidP="00C02B9A">
      <w:pPr>
        <w:pStyle w:val="ListParagraph"/>
        <w:numPr>
          <w:ilvl w:val="2"/>
          <w:numId w:val="1"/>
        </w:numPr>
        <w:rPr>
          <w:b/>
        </w:rPr>
      </w:pPr>
      <w:r>
        <w:rPr>
          <w:b/>
        </w:rPr>
        <w:t>Refer</w:t>
      </w:r>
      <w:r w:rsidR="0051042B" w:rsidRPr="008B433A">
        <w:rPr>
          <w:b/>
        </w:rPr>
        <w:t xml:space="preserve"> to </w:t>
      </w:r>
      <w:hyperlink r:id="rId14" w:history="1">
        <w:r w:rsidR="0051042B" w:rsidRPr="009C3D65">
          <w:rPr>
            <w:rStyle w:val="Hyperlink"/>
            <w:b/>
          </w:rPr>
          <w:t>APT Toolbox</w:t>
        </w:r>
        <w:r w:rsidR="009C3D65" w:rsidRPr="009C3D65">
          <w:rPr>
            <w:rStyle w:val="Hyperlink"/>
            <w:b/>
          </w:rPr>
          <w:t xml:space="preserve"> section #2</w:t>
        </w:r>
      </w:hyperlink>
      <w:r w:rsidR="0051042B" w:rsidRPr="008B433A">
        <w:rPr>
          <w:b/>
        </w:rPr>
        <w:t xml:space="preserve"> for guidelines, checklist, and templates.</w:t>
      </w:r>
    </w:p>
    <w:p w:rsidR="00977122" w:rsidRDefault="00977122" w:rsidP="00C02B9A">
      <w:pPr>
        <w:pStyle w:val="ListParagraph"/>
        <w:numPr>
          <w:ilvl w:val="2"/>
          <w:numId w:val="1"/>
        </w:numPr>
        <w:rPr>
          <w:b/>
        </w:rPr>
      </w:pPr>
      <w:bookmarkStart w:id="10" w:name="_Hlk129011959"/>
      <w:r>
        <w:rPr>
          <w:b/>
        </w:rPr>
        <w:t>Refer to the</w:t>
      </w:r>
      <w:r w:rsidR="00D35A86">
        <w:rPr>
          <w:b/>
        </w:rPr>
        <w:t xml:space="preserve"> </w:t>
      </w:r>
      <w:hyperlink r:id="rId15" w:history="1">
        <w:r w:rsidR="00D35A86" w:rsidRPr="00D35A86">
          <w:rPr>
            <w:rStyle w:val="Hyperlink"/>
            <w:b/>
            <w:bCs/>
          </w:rPr>
          <w:t>APT Toolbox Section 3b</w:t>
        </w:r>
      </w:hyperlink>
      <w:r w:rsidR="00D35A86" w:rsidRPr="00D35A86">
        <w:rPr>
          <w:b/>
          <w:bCs/>
        </w:rPr>
        <w:t xml:space="preserve"> for </w:t>
      </w:r>
      <w:r w:rsidR="00D35A86">
        <w:rPr>
          <w:b/>
        </w:rPr>
        <w:t xml:space="preserve">the </w:t>
      </w:r>
      <w:r>
        <w:rPr>
          <w:b/>
        </w:rPr>
        <w:t xml:space="preserve">P&amp;T Packet Checklist </w:t>
      </w:r>
      <w:r w:rsidR="00D35A86">
        <w:rPr>
          <w:b/>
        </w:rPr>
        <w:t xml:space="preserve">for Promotion </w:t>
      </w:r>
      <w:r>
        <w:rPr>
          <w:b/>
        </w:rPr>
        <w:t xml:space="preserve">on what to include in this section of the dossier. </w:t>
      </w:r>
    </w:p>
    <w:bookmarkEnd w:id="10"/>
    <w:p w:rsidR="001D27FC" w:rsidRDefault="001D27FC" w:rsidP="001D27FC">
      <w:pPr>
        <w:pStyle w:val="ListParagraph"/>
        <w:ind w:left="810"/>
        <w:rPr>
          <w:b/>
        </w:rPr>
      </w:pPr>
    </w:p>
    <w:p w:rsidR="00CE4118" w:rsidRPr="001D27FC" w:rsidRDefault="001D27FC" w:rsidP="00C02B9A">
      <w:pPr>
        <w:pStyle w:val="ListParagraph"/>
        <w:numPr>
          <w:ilvl w:val="2"/>
          <w:numId w:val="1"/>
        </w:numPr>
        <w:rPr>
          <w:bCs/>
        </w:rPr>
      </w:pPr>
      <w:r>
        <w:rPr>
          <w:b/>
        </w:rPr>
        <w:t>E</w:t>
      </w:r>
      <w:r w:rsidR="00CE4118">
        <w:rPr>
          <w:b/>
        </w:rPr>
        <w:t xml:space="preserve">xternal </w:t>
      </w:r>
      <w:r>
        <w:rPr>
          <w:b/>
        </w:rPr>
        <w:t>evaluation</w:t>
      </w:r>
      <w:r w:rsidR="00CE4118">
        <w:rPr>
          <w:b/>
        </w:rPr>
        <w:t xml:space="preserve"> letters </w:t>
      </w:r>
      <w:r>
        <w:rPr>
          <w:b/>
        </w:rPr>
        <w:t>need to be on</w:t>
      </w:r>
      <w:r w:rsidR="00CE4118">
        <w:rPr>
          <w:b/>
        </w:rPr>
        <w:t xml:space="preserve"> letterhead, dated</w:t>
      </w:r>
      <w:r w:rsidR="00836E7E">
        <w:rPr>
          <w:b/>
        </w:rPr>
        <w:t xml:space="preserve"> (prior to the TIU level review)</w:t>
      </w:r>
      <w:r w:rsidR="00CE4118">
        <w:rPr>
          <w:b/>
        </w:rPr>
        <w:t>, and signed by the evaluator</w:t>
      </w:r>
      <w:r>
        <w:rPr>
          <w:b/>
        </w:rPr>
        <w:t xml:space="preserve">. </w:t>
      </w:r>
      <w:r>
        <w:rPr>
          <w:bCs/>
        </w:rPr>
        <w:t>I</w:t>
      </w:r>
      <w:r w:rsidRPr="001D27FC">
        <w:rPr>
          <w:bCs/>
        </w:rPr>
        <w:t>f the evaluator is not allowed to use their institution's letterhead</w:t>
      </w:r>
      <w:r w:rsidR="006E36D7">
        <w:rPr>
          <w:bCs/>
        </w:rPr>
        <w:t xml:space="preserve"> (For example NIH)</w:t>
      </w:r>
      <w:r w:rsidRPr="001D27FC">
        <w:rPr>
          <w:bCs/>
        </w:rPr>
        <w:t xml:space="preserve">, please insert a cover sheet documenting the reason. </w:t>
      </w:r>
    </w:p>
    <w:p w:rsidR="00C02B9A" w:rsidRDefault="00C02B9A" w:rsidP="00C02B9A">
      <w:pPr>
        <w:pStyle w:val="ListParagraph"/>
        <w:ind w:left="810"/>
        <w:rPr>
          <w:b/>
        </w:rPr>
      </w:pPr>
    </w:p>
    <w:p w:rsidR="00C02B9A" w:rsidRPr="00C02B9A" w:rsidRDefault="008B433A" w:rsidP="00C02B9A">
      <w:pPr>
        <w:pStyle w:val="ListParagraph"/>
        <w:numPr>
          <w:ilvl w:val="2"/>
          <w:numId w:val="1"/>
        </w:numPr>
        <w:rPr>
          <w:b/>
        </w:rPr>
      </w:pPr>
      <w:r w:rsidRPr="00C02B9A">
        <w:rPr>
          <w:b/>
        </w:rPr>
        <w:t xml:space="preserve">Do we include non-responding external evaluators? </w:t>
      </w:r>
      <w:r w:rsidRPr="008B433A">
        <w:t xml:space="preserve">No, OAA no longer requires the form of non-responding evaluations. </w:t>
      </w:r>
      <w:r>
        <w:t>O</w:t>
      </w:r>
      <w:r w:rsidR="00EC0640">
        <w:t>nly include letters from</w:t>
      </w:r>
      <w:r w:rsidR="00CD20E3">
        <w:t xml:space="preserve"> those you received. Do </w:t>
      </w:r>
      <w:r w:rsidR="00EC0640">
        <w:t xml:space="preserve">not </w:t>
      </w:r>
      <w:r w:rsidR="00CD20E3" w:rsidRPr="00D61229">
        <w:t xml:space="preserve">include </w:t>
      </w:r>
      <w:r w:rsidR="00280C2B" w:rsidRPr="00D61229">
        <w:t>any informa</w:t>
      </w:r>
      <w:r>
        <w:t>tion from an external evaluator</w:t>
      </w:r>
      <w:r w:rsidR="00280C2B" w:rsidRPr="00D61229">
        <w:t xml:space="preserve"> who agreed to write a letter and did not formally submit a letter.</w:t>
      </w:r>
      <w:r w:rsidR="00EC0640" w:rsidRPr="00D61229">
        <w:t xml:space="preserve"> </w:t>
      </w:r>
    </w:p>
    <w:p w:rsidR="00C02B9A" w:rsidRDefault="00C02B9A" w:rsidP="00C02B9A">
      <w:pPr>
        <w:pStyle w:val="ListParagraph"/>
        <w:ind w:left="810"/>
        <w:rPr>
          <w:b/>
        </w:rPr>
      </w:pPr>
    </w:p>
    <w:p w:rsidR="00CD20E3" w:rsidRPr="009C30CF" w:rsidRDefault="008C2E38" w:rsidP="00C02B9A">
      <w:pPr>
        <w:pStyle w:val="ListParagraph"/>
        <w:numPr>
          <w:ilvl w:val="2"/>
          <w:numId w:val="1"/>
        </w:numPr>
        <w:rPr>
          <w:b/>
        </w:rPr>
      </w:pPr>
      <w:r w:rsidRPr="00C02B9A">
        <w:rPr>
          <w:b/>
        </w:rPr>
        <w:t xml:space="preserve">Where do we put a letter we received that we cannot use due to rank or </w:t>
      </w:r>
      <w:r w:rsidR="0022446D" w:rsidRPr="00C02B9A">
        <w:rPr>
          <w:b/>
        </w:rPr>
        <w:t xml:space="preserve">a </w:t>
      </w:r>
      <w:r w:rsidRPr="00C02B9A">
        <w:rPr>
          <w:b/>
        </w:rPr>
        <w:t xml:space="preserve">conflict? </w:t>
      </w:r>
      <w:bookmarkStart w:id="11" w:name="_Hlk126843184"/>
      <w:r w:rsidR="008B433A">
        <w:t>I</w:t>
      </w:r>
      <w:r w:rsidR="00EB4002">
        <w:t>nclude in section: III.A.4. Additional Letters Requested by the Candidate and Solicited by the TIU Head</w:t>
      </w:r>
      <w:r w:rsidR="006E36D7">
        <w:t>. It does not get included on the list of responding external evaluator – Form 114</w:t>
      </w:r>
    </w:p>
    <w:bookmarkEnd w:id="11"/>
    <w:p w:rsidR="000B2E3E" w:rsidRPr="009C30CF" w:rsidRDefault="000B2E3E" w:rsidP="009C30CF">
      <w:pPr>
        <w:pStyle w:val="ListParagraph"/>
        <w:rPr>
          <w:b/>
        </w:rPr>
      </w:pPr>
    </w:p>
    <w:p w:rsidR="000B2E3E" w:rsidRPr="009C30CF" w:rsidRDefault="000B2E3E" w:rsidP="000B2E3E">
      <w:pPr>
        <w:pStyle w:val="ListParagraph"/>
        <w:numPr>
          <w:ilvl w:val="2"/>
          <w:numId w:val="1"/>
        </w:numPr>
        <w:rPr>
          <w:b/>
        </w:rPr>
      </w:pPr>
      <w:r>
        <w:rPr>
          <w:b/>
        </w:rPr>
        <w:t xml:space="preserve">Where do we put a letter received after the department eligible faculty vote? </w:t>
      </w:r>
      <w:r>
        <w:t xml:space="preserve">Include in section: III.A.4. Additional Letters Requested by the Candidate and Solicited by the TIU Head. </w:t>
      </w:r>
      <w:bookmarkStart w:id="12" w:name="_Hlk126843346"/>
      <w:r>
        <w:t xml:space="preserve">It does </w:t>
      </w:r>
      <w:r w:rsidRPr="009C30CF">
        <w:rPr>
          <w:u w:val="single"/>
        </w:rPr>
        <w:t>not</w:t>
      </w:r>
      <w:r>
        <w:t xml:space="preserve"> get included on the list of responding external evaluator </w:t>
      </w:r>
      <w:r w:rsidR="00FF1716">
        <w:t>- F</w:t>
      </w:r>
      <w:r>
        <w:t>orm</w:t>
      </w:r>
      <w:r w:rsidR="00FF1716">
        <w:t xml:space="preserve"> 114</w:t>
      </w:r>
      <w:r>
        <w:t xml:space="preserve">. </w:t>
      </w:r>
    </w:p>
    <w:bookmarkEnd w:id="12"/>
    <w:p w:rsidR="002D1C38" w:rsidRDefault="002D1C38" w:rsidP="002D1C38">
      <w:pPr>
        <w:pStyle w:val="ListParagraph"/>
        <w:ind w:left="810"/>
      </w:pPr>
    </w:p>
    <w:p w:rsidR="00C02B9A" w:rsidRDefault="00221FF4" w:rsidP="002D1C38">
      <w:pPr>
        <w:pStyle w:val="ListParagraph"/>
        <w:numPr>
          <w:ilvl w:val="2"/>
          <w:numId w:val="1"/>
        </w:numPr>
      </w:pPr>
      <w:r w:rsidRPr="002D1C38">
        <w:rPr>
          <w:b/>
          <w:bCs/>
        </w:rPr>
        <w:t>Examples of External Evaluator conflicts</w:t>
      </w:r>
      <w:r>
        <w:t xml:space="preserve">: </w:t>
      </w:r>
      <w:r w:rsidR="005E573A" w:rsidRPr="005E573A">
        <w:t xml:space="preserve">See </w:t>
      </w:r>
      <w:hyperlink r:id="rId16" w:history="1">
        <w:r w:rsidR="005E573A" w:rsidRPr="005E573A">
          <w:rPr>
            <w:rStyle w:val="Hyperlink"/>
          </w:rPr>
          <w:t>External Evaluator checklist</w:t>
        </w:r>
      </w:hyperlink>
      <w:r w:rsidR="002D1C38">
        <w:rPr>
          <w:rStyle w:val="Hyperlink"/>
        </w:rPr>
        <w:t xml:space="preserve"> </w:t>
      </w:r>
      <w:r w:rsidR="002D1C38" w:rsidRPr="002D1C38">
        <w:rPr>
          <w:rStyle w:val="Hyperlink"/>
          <w:color w:val="auto"/>
          <w:u w:val="none"/>
        </w:rPr>
        <w:t>on the APT Toolbox section #2</w:t>
      </w:r>
      <w:r w:rsidR="005E573A" w:rsidRPr="002D1C38">
        <w:t xml:space="preserve"> </w:t>
      </w:r>
      <w:r w:rsidR="005E573A" w:rsidRPr="005E573A">
        <w:t>(separate one for Clinical Excellence)</w:t>
      </w:r>
      <w:r w:rsidR="008C2E38">
        <w:t xml:space="preserve">. </w:t>
      </w:r>
    </w:p>
    <w:p w:rsidR="00C02B9A" w:rsidRPr="00D61229" w:rsidRDefault="00C02B9A" w:rsidP="007E419F">
      <w:pPr>
        <w:pStyle w:val="ListParagraph"/>
        <w:ind w:left="2700"/>
      </w:pPr>
    </w:p>
    <w:p w:rsidR="00CB5941" w:rsidRDefault="00D61229" w:rsidP="00CB5941">
      <w:pPr>
        <w:pStyle w:val="ListParagraph"/>
        <w:numPr>
          <w:ilvl w:val="0"/>
          <w:numId w:val="17"/>
        </w:numPr>
      </w:pPr>
      <w:r w:rsidRPr="00C02B9A">
        <w:rPr>
          <w:b/>
          <w:bCs/>
        </w:rPr>
        <w:t>Can an external evaluator be from a non-academic institution</w:t>
      </w:r>
      <w:r>
        <w:t xml:space="preserve"> (e.g. </w:t>
      </w:r>
      <w:r w:rsidR="00CD20E3">
        <w:t>Residency Director at</w:t>
      </w:r>
      <w:r>
        <w:t xml:space="preserve"> a</w:t>
      </w:r>
      <w:r w:rsidR="00CD20E3">
        <w:t xml:space="preserve"> private practice</w:t>
      </w:r>
      <w:r>
        <w:t>). Y</w:t>
      </w:r>
      <w:r w:rsidR="00CD20E3">
        <w:t xml:space="preserve">es, </w:t>
      </w:r>
      <w:r>
        <w:t xml:space="preserve">this should be infrequent. </w:t>
      </w:r>
      <w:bookmarkStart w:id="13" w:name="_Hlk136424711"/>
      <w:r w:rsidR="006E36D7">
        <w:t>Use Form 106 to offer additional context</w:t>
      </w:r>
      <w:r w:rsidR="00A3640D">
        <w:t xml:space="preserve"> about the evaluator’s qualifications.</w:t>
      </w:r>
      <w:r w:rsidR="006E36D7">
        <w:t xml:space="preserve"> </w:t>
      </w:r>
      <w:bookmarkEnd w:id="13"/>
    </w:p>
    <w:p w:rsidR="00CB5941" w:rsidRDefault="00CB5941" w:rsidP="00CB5941">
      <w:pPr>
        <w:pStyle w:val="ListParagraph"/>
      </w:pPr>
    </w:p>
    <w:p w:rsidR="00CB5941" w:rsidRDefault="00CB5941" w:rsidP="00CB5941">
      <w:pPr>
        <w:pStyle w:val="ListParagraph"/>
        <w:numPr>
          <w:ilvl w:val="0"/>
          <w:numId w:val="17"/>
        </w:numPr>
      </w:pPr>
      <w:r>
        <w:rPr>
          <w:b/>
          <w:bCs/>
        </w:rPr>
        <w:t xml:space="preserve">What happens if we don’t have the required 5 external evaluations? </w:t>
      </w:r>
      <w:r>
        <w:t xml:space="preserve">Please reach out to the College Office of Faculty Affairs. Depending on the situation, you may need to include a letter </w:t>
      </w:r>
      <w:r w:rsidRPr="00FF2DEA">
        <w:rPr>
          <w:u w:val="single"/>
        </w:rPr>
        <w:t>signed</w:t>
      </w:r>
      <w:r>
        <w:t xml:space="preserve"> by the (1) faculty, (2) department P&amp;T chair, and (3) Department chair on why there are not 5 external evaluations letters and that you all agree this </w:t>
      </w:r>
      <w:r w:rsidR="00FF2DEA">
        <w:t>does</w:t>
      </w:r>
      <w:r>
        <w:t xml:space="preserve"> not </w:t>
      </w:r>
      <w:r w:rsidR="00FF2DEA">
        <w:t xml:space="preserve">constitute as </w:t>
      </w:r>
      <w:r>
        <w:t xml:space="preserve">a procedural violation. </w:t>
      </w:r>
    </w:p>
    <w:p w:rsidR="00952DE5" w:rsidRDefault="00952DE5" w:rsidP="00952DE5">
      <w:pPr>
        <w:rPr>
          <w:b/>
          <w:bCs/>
        </w:rPr>
      </w:pPr>
    </w:p>
    <w:p w:rsidR="00952DE5" w:rsidRPr="00952DE5" w:rsidRDefault="00952DE5" w:rsidP="00952DE5">
      <w:pPr>
        <w:rPr>
          <w:b/>
          <w:bCs/>
          <w:sz w:val="28"/>
          <w:szCs w:val="28"/>
          <w:u w:val="single"/>
        </w:rPr>
      </w:pPr>
      <w:bookmarkStart w:id="14" w:name="Student_Evaluations"/>
      <w:r w:rsidRPr="00952DE5">
        <w:rPr>
          <w:b/>
          <w:bCs/>
          <w:sz w:val="28"/>
          <w:szCs w:val="28"/>
          <w:u w:val="single"/>
        </w:rPr>
        <w:t xml:space="preserve">Student Evaluation of Instruction </w:t>
      </w:r>
    </w:p>
    <w:bookmarkEnd w:id="14"/>
    <w:p w:rsidR="00A70652" w:rsidRPr="00BA0F73" w:rsidRDefault="006D7AB5" w:rsidP="00A70652">
      <w:pPr>
        <w:pStyle w:val="ListParagraph"/>
        <w:numPr>
          <w:ilvl w:val="2"/>
          <w:numId w:val="1"/>
        </w:numPr>
        <w:rPr>
          <w:b/>
          <w:bCs/>
        </w:rPr>
      </w:pPr>
      <w:r>
        <w:rPr>
          <w:b/>
          <w:bCs/>
        </w:rPr>
        <w:t xml:space="preserve">What are student evaluations? </w:t>
      </w:r>
      <w:r w:rsidR="0035132B">
        <w:t>Student e</w:t>
      </w:r>
      <w:r w:rsidR="0035132B" w:rsidRPr="0035132B">
        <w:t>valuations of teaching are completed</w:t>
      </w:r>
      <w:r w:rsidR="0035132B">
        <w:t xml:space="preserve"> by the student. This includes undergrads, graduate, medical students, residents, and fellows. T</w:t>
      </w:r>
      <w:r w:rsidR="0035132B" w:rsidRPr="0035132B">
        <w:t>he majority of the teaching will take place at OSU</w:t>
      </w:r>
      <w:r w:rsidR="0035132B">
        <w:t>.</w:t>
      </w:r>
    </w:p>
    <w:p w:rsidR="0035132B" w:rsidRPr="009C30CF" w:rsidRDefault="0035132B" w:rsidP="0035132B">
      <w:pPr>
        <w:pStyle w:val="ListParagraph"/>
        <w:ind w:left="810"/>
        <w:rPr>
          <w:b/>
          <w:bCs/>
        </w:rPr>
      </w:pPr>
    </w:p>
    <w:p w:rsidR="00952DE5" w:rsidRDefault="00952DE5" w:rsidP="00952DE5">
      <w:pPr>
        <w:pStyle w:val="ListParagraph"/>
        <w:numPr>
          <w:ilvl w:val="2"/>
          <w:numId w:val="1"/>
        </w:numPr>
        <w:rPr>
          <w:b/>
          <w:bCs/>
        </w:rPr>
      </w:pPr>
      <w:r w:rsidRPr="008E2AA4">
        <w:rPr>
          <w:b/>
          <w:bCs/>
        </w:rPr>
        <w:t>How far back to include Student Evaluation</w:t>
      </w:r>
      <w:r>
        <w:rPr>
          <w:b/>
          <w:bCs/>
        </w:rPr>
        <w:t>s?</w:t>
      </w:r>
    </w:p>
    <w:p w:rsidR="00BB38C3" w:rsidRPr="00F83195" w:rsidRDefault="00BB38C3" w:rsidP="00F83195">
      <w:pPr>
        <w:pStyle w:val="ListParagraph"/>
        <w:rPr>
          <w:b/>
          <w:bCs/>
        </w:rPr>
      </w:pPr>
    </w:p>
    <w:p w:rsidR="00BB38C3" w:rsidRDefault="00BB38C3" w:rsidP="00BB38C3">
      <w:pPr>
        <w:pStyle w:val="ListParagraph"/>
        <w:numPr>
          <w:ilvl w:val="3"/>
          <w:numId w:val="1"/>
        </w:numPr>
      </w:pPr>
      <w:r>
        <w:t xml:space="preserve">Probationary tenure track faculty (i.e. Assistant &amp; Associate Professors </w:t>
      </w:r>
      <w:r>
        <w:rPr>
          <w:u w:val="single"/>
        </w:rPr>
        <w:t>in advance of tenure)</w:t>
      </w:r>
      <w:r>
        <w:t xml:space="preserve"> = include all annual reviews since date of hire</w:t>
      </w:r>
    </w:p>
    <w:p w:rsidR="00BB38C3" w:rsidRDefault="00BB38C3" w:rsidP="00BB38C3">
      <w:pPr>
        <w:pStyle w:val="ListParagraph"/>
        <w:numPr>
          <w:ilvl w:val="3"/>
          <w:numId w:val="1"/>
        </w:numPr>
      </w:pPr>
      <w:r>
        <w:t>Faculty with tenure (aka tenured) –</w:t>
      </w:r>
      <w:r w:rsidRPr="00741384">
        <w:t xml:space="preserve"> </w:t>
      </w:r>
      <w:r>
        <w:t>include all since last OSU promotion or date of hire with tenure, not to exceed the most recent 5 years.</w:t>
      </w:r>
    </w:p>
    <w:p w:rsidR="00BB38C3" w:rsidRDefault="00BB38C3" w:rsidP="00BB38C3">
      <w:pPr>
        <w:pStyle w:val="ListParagraph"/>
        <w:numPr>
          <w:ilvl w:val="3"/>
          <w:numId w:val="1"/>
        </w:numPr>
      </w:pPr>
      <w:r>
        <w:t>Clinical &amp; Research track = include all since date of hire or last OSU promotion, not to exceed the most recent 5 years</w:t>
      </w:r>
    </w:p>
    <w:p w:rsidR="00952DE5" w:rsidRPr="00952DE5" w:rsidRDefault="00952DE5" w:rsidP="00F83195">
      <w:pPr>
        <w:rPr>
          <w:b/>
        </w:rPr>
      </w:pPr>
    </w:p>
    <w:p w:rsidR="00952DE5" w:rsidRPr="009B6789" w:rsidRDefault="008122A9" w:rsidP="00952DE5">
      <w:pPr>
        <w:pStyle w:val="ListParagraph"/>
        <w:numPr>
          <w:ilvl w:val="2"/>
          <w:numId w:val="1"/>
        </w:numPr>
      </w:pPr>
      <w:r w:rsidRPr="00952DE5">
        <w:rPr>
          <w:b/>
          <w:bCs/>
        </w:rPr>
        <w:t>Do we include medical student</w:t>
      </w:r>
      <w:r w:rsidR="00DD4760" w:rsidRPr="00952DE5">
        <w:rPr>
          <w:b/>
          <w:bCs/>
        </w:rPr>
        <w:t>, undergrads, graduate students,</w:t>
      </w:r>
      <w:r w:rsidRPr="00952DE5">
        <w:rPr>
          <w:b/>
          <w:bCs/>
        </w:rPr>
        <w:t xml:space="preserve"> residents</w:t>
      </w:r>
      <w:r w:rsidRPr="008122A9">
        <w:t>?</w:t>
      </w:r>
      <w:r>
        <w:t xml:space="preserve"> </w:t>
      </w:r>
      <w:r w:rsidR="00DD4760">
        <w:t xml:space="preserve">Yes, all learners. </w:t>
      </w:r>
    </w:p>
    <w:p w:rsidR="00952DE5" w:rsidRDefault="00952DE5" w:rsidP="00952DE5">
      <w:pPr>
        <w:pStyle w:val="ListParagraph"/>
        <w:ind w:left="810"/>
        <w:rPr>
          <w:b/>
        </w:rPr>
      </w:pPr>
      <w:bookmarkStart w:id="15" w:name="_Hlk92882992"/>
    </w:p>
    <w:p w:rsidR="00952DE5" w:rsidRPr="00952DE5" w:rsidRDefault="001A75C2" w:rsidP="00952DE5">
      <w:pPr>
        <w:pStyle w:val="ListParagraph"/>
        <w:numPr>
          <w:ilvl w:val="2"/>
          <w:numId w:val="1"/>
        </w:numPr>
        <w:rPr>
          <w:b/>
        </w:rPr>
      </w:pPr>
      <w:r w:rsidRPr="00952DE5">
        <w:rPr>
          <w:b/>
        </w:rPr>
        <w:t>What is the d</w:t>
      </w:r>
      <w:r w:rsidR="00EC0640" w:rsidRPr="00952DE5">
        <w:rPr>
          <w:b/>
        </w:rPr>
        <w:t>ifference between Cumulative Fixed Response and</w:t>
      </w:r>
      <w:r w:rsidRPr="00952DE5">
        <w:rPr>
          <w:b/>
        </w:rPr>
        <w:t xml:space="preserve"> Fixed Response Evaluation Data?</w:t>
      </w:r>
    </w:p>
    <w:p w:rsidR="00952DE5" w:rsidRPr="00952DE5" w:rsidRDefault="00EC0640" w:rsidP="00952DE5">
      <w:pPr>
        <w:pStyle w:val="ListParagraph"/>
        <w:numPr>
          <w:ilvl w:val="3"/>
          <w:numId w:val="1"/>
        </w:numPr>
        <w:rPr>
          <w:b/>
        </w:rPr>
      </w:pPr>
      <w:r w:rsidRPr="000639B0">
        <w:t xml:space="preserve">IV.A Cumulative fixed = </w:t>
      </w:r>
      <w:r w:rsidR="00D977F6" w:rsidRPr="000639B0">
        <w:t>Vitals</w:t>
      </w:r>
      <w:r w:rsidR="00B152B3" w:rsidRPr="000639B0">
        <w:t xml:space="preserve"> (medical Student)</w:t>
      </w:r>
      <w:r w:rsidR="00D977F6" w:rsidRPr="000639B0">
        <w:t xml:space="preserve">, </w:t>
      </w:r>
      <w:proofErr w:type="spellStart"/>
      <w:r w:rsidR="00D977F6" w:rsidRPr="000639B0">
        <w:t>Medhub</w:t>
      </w:r>
      <w:proofErr w:type="spellEnd"/>
      <w:r w:rsidR="00B152B3" w:rsidRPr="000639B0">
        <w:t xml:space="preserve"> (resident)</w:t>
      </w:r>
      <w:r w:rsidR="00D977F6" w:rsidRPr="000639B0">
        <w:t>, &amp; SEI</w:t>
      </w:r>
      <w:r w:rsidR="00B152B3" w:rsidRPr="000639B0">
        <w:t xml:space="preserve"> (undergrad &amp; graduate)</w:t>
      </w:r>
      <w:r w:rsidR="00D977F6" w:rsidRPr="000639B0">
        <w:t>.</w:t>
      </w:r>
    </w:p>
    <w:p w:rsidR="00952DE5" w:rsidRDefault="00EC0640" w:rsidP="00952DE5">
      <w:pPr>
        <w:pStyle w:val="ListParagraph"/>
        <w:numPr>
          <w:ilvl w:val="3"/>
          <w:numId w:val="1"/>
        </w:numPr>
      </w:pPr>
      <w:r w:rsidRPr="000639B0">
        <w:t xml:space="preserve">IV.B </w:t>
      </w:r>
      <w:r w:rsidR="00B152B3" w:rsidRPr="000639B0">
        <w:t xml:space="preserve"> Fixed Response Student eval data: (aka the summary) </w:t>
      </w:r>
      <w:r w:rsidR="001A75C2">
        <w:t>e.g.</w:t>
      </w:r>
      <w:r w:rsidR="00B152B3" w:rsidRPr="000639B0">
        <w:t xml:space="preserve"> if a faculty has 100</w:t>
      </w:r>
      <w:r w:rsidR="00B152B3" w:rsidRPr="004354BD">
        <w:t xml:space="preserve"> </w:t>
      </w:r>
      <w:r w:rsidR="00B152B3">
        <w:t>students</w:t>
      </w:r>
      <w:r w:rsidR="00B152B3" w:rsidRPr="004354BD">
        <w:t xml:space="preserve"> and they </w:t>
      </w:r>
      <w:r w:rsidR="001A75C2">
        <w:t>receive</w:t>
      </w:r>
      <w:r w:rsidR="00B152B3" w:rsidRPr="004354BD">
        <w:t xml:space="preserve"> 50 </w:t>
      </w:r>
      <w:r w:rsidR="001A75C2">
        <w:t>student survey responses</w:t>
      </w:r>
      <w:r w:rsidR="00B152B3">
        <w:t xml:space="preserve">, </w:t>
      </w:r>
      <w:r w:rsidR="00B152B3" w:rsidRPr="004354BD">
        <w:t xml:space="preserve">you don’t include all 50 sheets, </w:t>
      </w:r>
      <w:r w:rsidR="00B152B3">
        <w:t>and instead</w:t>
      </w:r>
      <w:r w:rsidR="001A75C2">
        <w:t xml:space="preserve"> the cumulative rating for 50</w:t>
      </w:r>
      <w:r w:rsidR="009B7802">
        <w:t xml:space="preserve"> with compiled comments.</w:t>
      </w:r>
    </w:p>
    <w:p w:rsidR="009B6789" w:rsidRDefault="00D977F6" w:rsidP="00952DE5">
      <w:pPr>
        <w:pStyle w:val="ListParagraph"/>
        <w:numPr>
          <w:ilvl w:val="3"/>
          <w:numId w:val="1"/>
        </w:numPr>
      </w:pPr>
      <w:r>
        <w:t>IV.C. Summary of Open-Ended Student Evaluations</w:t>
      </w:r>
      <w:r w:rsidR="00B152B3">
        <w:t xml:space="preserve"> – </w:t>
      </w:r>
      <w:r w:rsidR="000639B0">
        <w:t xml:space="preserve">e.g. </w:t>
      </w:r>
      <w:r w:rsidR="00B152B3">
        <w:t xml:space="preserve">Faculty </w:t>
      </w:r>
      <w:r w:rsidR="000639B0">
        <w:t>asks specific questions and the student provides written feedback</w:t>
      </w:r>
      <w:r w:rsidR="009B6789">
        <w:t>.</w:t>
      </w:r>
    </w:p>
    <w:p w:rsidR="001D27FC" w:rsidRDefault="001D27FC" w:rsidP="001D27FC">
      <w:pPr>
        <w:pStyle w:val="ListParagraph"/>
        <w:ind w:left="1800"/>
      </w:pPr>
    </w:p>
    <w:bookmarkEnd w:id="15"/>
    <w:p w:rsidR="00952DE5" w:rsidRPr="00952DE5" w:rsidRDefault="005733EE" w:rsidP="00952DE5">
      <w:pPr>
        <w:pStyle w:val="ListParagraph"/>
        <w:numPr>
          <w:ilvl w:val="0"/>
          <w:numId w:val="16"/>
        </w:numPr>
      </w:pPr>
      <w:r w:rsidRPr="00952DE5">
        <w:rPr>
          <w:b/>
        </w:rPr>
        <w:t xml:space="preserve">Where </w:t>
      </w:r>
      <w:r w:rsidR="00882A54" w:rsidRPr="00952DE5">
        <w:rPr>
          <w:b/>
        </w:rPr>
        <w:t>can I find</w:t>
      </w:r>
      <w:r w:rsidRPr="00952DE5">
        <w:rPr>
          <w:b/>
        </w:rPr>
        <w:t xml:space="preserve"> student evaluations? </w:t>
      </w:r>
    </w:p>
    <w:p w:rsidR="00952DE5" w:rsidRPr="00DB6F1E" w:rsidRDefault="005733EE" w:rsidP="00952DE5">
      <w:pPr>
        <w:pStyle w:val="ListParagraph"/>
        <w:numPr>
          <w:ilvl w:val="1"/>
          <w:numId w:val="10"/>
        </w:numPr>
        <w:rPr>
          <w:bCs/>
        </w:rPr>
      </w:pPr>
      <w:r w:rsidRPr="00DB6F1E">
        <w:rPr>
          <w:bCs/>
        </w:rPr>
        <w:t>Vitals (Medical Students) – faculty pulls</w:t>
      </w:r>
      <w:r w:rsidR="00882A54" w:rsidRPr="00DB6F1E">
        <w:rPr>
          <w:bCs/>
        </w:rPr>
        <w:t xml:space="preserve"> from Vitals</w:t>
      </w:r>
      <w:r w:rsidRPr="00DB6F1E">
        <w:rPr>
          <w:bCs/>
        </w:rPr>
        <w:t>. Tip sheet can be located under the Help tab on Faculty Portal</w:t>
      </w:r>
      <w:r w:rsidR="00DB6F1E">
        <w:rPr>
          <w:bCs/>
        </w:rPr>
        <w:t xml:space="preserve">. Note: If a faculty has never been asked to fill out an evaluation in Vitals about a student or have not done any active teaching in the LSI curriculum, they will not have a Vitals account. </w:t>
      </w:r>
    </w:p>
    <w:p w:rsidR="00952DE5" w:rsidRPr="00952DE5" w:rsidRDefault="005733EE" w:rsidP="00952DE5">
      <w:pPr>
        <w:pStyle w:val="ListParagraph"/>
        <w:numPr>
          <w:ilvl w:val="1"/>
          <w:numId w:val="10"/>
        </w:numPr>
        <w:rPr>
          <w:bCs/>
        </w:rPr>
      </w:pPr>
      <w:proofErr w:type="spellStart"/>
      <w:r w:rsidRPr="00952DE5">
        <w:rPr>
          <w:bCs/>
        </w:rPr>
        <w:t>Medhub</w:t>
      </w:r>
      <w:proofErr w:type="spellEnd"/>
      <w:r w:rsidRPr="00952DE5">
        <w:rPr>
          <w:bCs/>
        </w:rPr>
        <w:t xml:space="preserve"> (Residents) – residency coordinator </w:t>
      </w:r>
      <w:r w:rsidR="00882A54" w:rsidRPr="00952DE5">
        <w:rPr>
          <w:bCs/>
        </w:rPr>
        <w:t>can</w:t>
      </w:r>
      <w:r w:rsidRPr="00952DE5">
        <w:rPr>
          <w:bCs/>
        </w:rPr>
        <w:t xml:space="preserve"> pull these for faculty in their department. </w:t>
      </w:r>
    </w:p>
    <w:p w:rsidR="005733EE" w:rsidRPr="00A70652" w:rsidRDefault="005733EE" w:rsidP="00952DE5">
      <w:pPr>
        <w:pStyle w:val="ListParagraph"/>
        <w:numPr>
          <w:ilvl w:val="1"/>
          <w:numId w:val="10"/>
        </w:numPr>
        <w:rPr>
          <w:rStyle w:val="Hyperlink"/>
          <w:bCs/>
          <w:color w:val="auto"/>
          <w:u w:val="none"/>
        </w:rPr>
      </w:pPr>
      <w:r w:rsidRPr="00952DE5">
        <w:rPr>
          <w:bCs/>
        </w:rPr>
        <w:t xml:space="preserve">SEI (undergraduate &amp; graduate) – faculty pulls. </w:t>
      </w:r>
      <w:hyperlink r:id="rId17" w:history="1">
        <w:r w:rsidR="00972868" w:rsidRPr="00952DE5">
          <w:rPr>
            <w:rStyle w:val="Hyperlink"/>
            <w:bCs/>
          </w:rPr>
          <w:t>SEI Report Access</w:t>
        </w:r>
      </w:hyperlink>
    </w:p>
    <w:p w:rsidR="00A70652" w:rsidRPr="00952DE5" w:rsidRDefault="00A70652" w:rsidP="00952DE5">
      <w:pPr>
        <w:pStyle w:val="ListParagraph"/>
        <w:numPr>
          <w:ilvl w:val="1"/>
          <w:numId w:val="10"/>
        </w:numPr>
        <w:rPr>
          <w:rStyle w:val="Hyperlink"/>
          <w:bCs/>
          <w:color w:val="auto"/>
          <w:u w:val="none"/>
        </w:rPr>
      </w:pPr>
      <w:r>
        <w:rPr>
          <w:bCs/>
        </w:rPr>
        <w:t>Others</w:t>
      </w:r>
      <w:r>
        <w:rPr>
          <w:rStyle w:val="Hyperlink"/>
          <w:bCs/>
          <w:color w:val="auto"/>
          <w:u w:val="none"/>
        </w:rPr>
        <w:t xml:space="preserve"> </w:t>
      </w:r>
      <w:r w:rsidR="003A11F9">
        <w:rPr>
          <w:rStyle w:val="Hyperlink"/>
          <w:bCs/>
          <w:color w:val="auto"/>
          <w:u w:val="none"/>
        </w:rPr>
        <w:t>e</w:t>
      </w:r>
      <w:r>
        <w:rPr>
          <w:rStyle w:val="Hyperlink"/>
          <w:bCs/>
          <w:color w:val="auto"/>
          <w:u w:val="none"/>
        </w:rPr>
        <w:t xml:space="preserve">.g. from other institutions, </w:t>
      </w:r>
      <w:proofErr w:type="spellStart"/>
      <w:r>
        <w:rPr>
          <w:rStyle w:val="Hyperlink"/>
          <w:bCs/>
          <w:color w:val="auto"/>
          <w:u w:val="none"/>
        </w:rPr>
        <w:t>REDcap</w:t>
      </w:r>
      <w:proofErr w:type="spellEnd"/>
    </w:p>
    <w:p w:rsidR="00DB2270" w:rsidRDefault="00DB2270" w:rsidP="00DB2270"/>
    <w:p w:rsidR="001F7B21" w:rsidRDefault="001F7B21" w:rsidP="00C81B47">
      <w:pPr>
        <w:rPr>
          <w:b/>
          <w:bCs/>
          <w:sz w:val="28"/>
          <w:szCs w:val="28"/>
          <w:u w:val="single"/>
        </w:rPr>
      </w:pPr>
      <w:bookmarkStart w:id="16" w:name="Internal_Review_Letters"/>
      <w:bookmarkStart w:id="17" w:name="Process"/>
      <w:r>
        <w:rPr>
          <w:b/>
          <w:bCs/>
          <w:sz w:val="28"/>
          <w:szCs w:val="28"/>
          <w:u w:val="single"/>
        </w:rPr>
        <w:t xml:space="preserve">Internal Review Letters </w:t>
      </w:r>
      <w:bookmarkEnd w:id="16"/>
      <w:r>
        <w:rPr>
          <w:b/>
          <w:bCs/>
          <w:sz w:val="28"/>
          <w:szCs w:val="28"/>
          <w:u w:val="single"/>
        </w:rPr>
        <w:t>(e.g. P&amp;T Chair letter &amp;</w:t>
      </w:r>
      <w:r w:rsidRPr="001F7B21">
        <w:rPr>
          <w:b/>
          <w:bCs/>
          <w:sz w:val="28"/>
          <w:szCs w:val="28"/>
          <w:u w:val="single"/>
        </w:rPr>
        <w:t xml:space="preserve"> </w:t>
      </w:r>
      <w:r>
        <w:rPr>
          <w:b/>
          <w:bCs/>
          <w:sz w:val="28"/>
          <w:szCs w:val="28"/>
          <w:u w:val="single"/>
        </w:rPr>
        <w:t>TIU/Dept Chair )</w:t>
      </w:r>
    </w:p>
    <w:p w:rsidR="001F7B21" w:rsidRDefault="001F7B21" w:rsidP="001F7B21">
      <w:pPr>
        <w:pStyle w:val="ListParagraph"/>
        <w:numPr>
          <w:ilvl w:val="2"/>
          <w:numId w:val="1"/>
        </w:numPr>
        <w:rPr>
          <w:b/>
        </w:rPr>
      </w:pPr>
      <w:r>
        <w:rPr>
          <w:b/>
        </w:rPr>
        <w:t xml:space="preserve">Refer to the </w:t>
      </w:r>
      <w:hyperlink r:id="rId18" w:history="1">
        <w:r w:rsidRPr="00D35A86">
          <w:rPr>
            <w:rStyle w:val="Hyperlink"/>
            <w:b/>
            <w:bCs/>
          </w:rPr>
          <w:t>APT Toolbox Section 3b</w:t>
        </w:r>
      </w:hyperlink>
      <w:r w:rsidRPr="00D35A86">
        <w:rPr>
          <w:b/>
          <w:bCs/>
        </w:rPr>
        <w:t xml:space="preserve"> for </w:t>
      </w:r>
      <w:r>
        <w:rPr>
          <w:b/>
        </w:rPr>
        <w:t xml:space="preserve">the P&amp;T Packet Checklist for Promotion on more specific information. </w:t>
      </w:r>
    </w:p>
    <w:p w:rsidR="00D079EC" w:rsidRPr="00D079EC" w:rsidRDefault="00D079EC" w:rsidP="00D079EC">
      <w:pPr>
        <w:pStyle w:val="ListParagraph"/>
        <w:numPr>
          <w:ilvl w:val="3"/>
          <w:numId w:val="1"/>
        </w:numPr>
        <w:rPr>
          <w:bCs/>
        </w:rPr>
      </w:pPr>
      <w:r w:rsidRPr="00D079EC">
        <w:rPr>
          <w:bCs/>
        </w:rPr>
        <w:t xml:space="preserve">Reminder: Include the vote </w:t>
      </w:r>
      <w:r>
        <w:rPr>
          <w:bCs/>
        </w:rPr>
        <w:t>and</w:t>
      </w:r>
      <w:r w:rsidRPr="00D079EC">
        <w:rPr>
          <w:bCs/>
        </w:rPr>
        <w:t xml:space="preserve"> date of the vote in the P&amp;T Chair letter</w:t>
      </w:r>
    </w:p>
    <w:p w:rsidR="001F7B21" w:rsidRPr="001F7B21" w:rsidRDefault="001F7B21" w:rsidP="001F7B21">
      <w:pPr>
        <w:rPr>
          <w:b/>
          <w:bCs/>
          <w:sz w:val="28"/>
          <w:szCs w:val="28"/>
          <w:u w:val="single"/>
        </w:rPr>
      </w:pPr>
    </w:p>
    <w:p w:rsidR="00DB2270" w:rsidRPr="00C81B47" w:rsidRDefault="00DB2270" w:rsidP="00C81B47">
      <w:pPr>
        <w:rPr>
          <w:b/>
          <w:bCs/>
          <w:sz w:val="28"/>
          <w:szCs w:val="28"/>
          <w:u w:val="single"/>
        </w:rPr>
      </w:pPr>
      <w:r w:rsidRPr="00C81B47">
        <w:rPr>
          <w:b/>
          <w:bCs/>
          <w:sz w:val="28"/>
          <w:szCs w:val="28"/>
          <w:u w:val="single"/>
        </w:rPr>
        <w:t>Process</w:t>
      </w:r>
    </w:p>
    <w:bookmarkEnd w:id="17"/>
    <w:p w:rsidR="00D32120" w:rsidRDefault="00D32120" w:rsidP="00D32120">
      <w:pPr>
        <w:pStyle w:val="ListParagraph"/>
        <w:numPr>
          <w:ilvl w:val="2"/>
          <w:numId w:val="1"/>
        </w:numPr>
      </w:pPr>
      <w:r w:rsidRPr="00F94F33">
        <w:rPr>
          <w:b/>
          <w:bCs/>
        </w:rPr>
        <w:t xml:space="preserve">Can a faculty member be denied consideration for </w:t>
      </w:r>
      <w:r>
        <w:rPr>
          <w:b/>
          <w:bCs/>
        </w:rPr>
        <w:t xml:space="preserve">a </w:t>
      </w:r>
      <w:r w:rsidRPr="004314BB">
        <w:rPr>
          <w:b/>
          <w:bCs/>
        </w:rPr>
        <w:t>self-nominated</w:t>
      </w:r>
      <w:r>
        <w:rPr>
          <w:b/>
          <w:bCs/>
        </w:rPr>
        <w:t xml:space="preserve"> </w:t>
      </w:r>
      <w:r w:rsidRPr="00F94F33">
        <w:rPr>
          <w:b/>
          <w:bCs/>
        </w:rPr>
        <w:t>promotion?</w:t>
      </w:r>
      <w:r w:rsidRPr="00F94F33">
        <w:t xml:space="preserve"> Yes, only for nonmandatory reviews. The P&amp;T Committee or Committee of Eligible Faculty (CEF) can deny the faculty to be considered for promotion and the TIU/Dept Chair cannot overturn CEF decision. E.g. If CEF says no, TIU Chair cannot say yes. If CEF says yes, TIU chair cannot stop it. </w:t>
      </w:r>
    </w:p>
    <w:p w:rsidR="00D32120" w:rsidRPr="00DB2270" w:rsidRDefault="00D32120" w:rsidP="00D32120">
      <w:pPr>
        <w:pStyle w:val="ListParagraph"/>
        <w:numPr>
          <w:ilvl w:val="3"/>
          <w:numId w:val="1"/>
        </w:numPr>
      </w:pPr>
      <w:r w:rsidRPr="00DB2270">
        <w:t>Probationary faculty</w:t>
      </w:r>
      <w:r w:rsidR="00E72D4B">
        <w:t xml:space="preserve"> (any track)</w:t>
      </w:r>
      <w:r w:rsidRPr="00DB2270">
        <w:t xml:space="preserve"> – can be denied multiple times</w:t>
      </w:r>
      <w:r w:rsidR="00E72D4B">
        <w:t xml:space="preserve"> </w:t>
      </w:r>
    </w:p>
    <w:p w:rsidR="00D32120" w:rsidRPr="00C81B47" w:rsidRDefault="00D32120" w:rsidP="00D32120">
      <w:pPr>
        <w:pStyle w:val="ListParagraph"/>
        <w:numPr>
          <w:ilvl w:val="3"/>
          <w:numId w:val="1"/>
        </w:numPr>
      </w:pPr>
      <w:r w:rsidRPr="00DB2270">
        <w:t xml:space="preserve">Non-Probationary </w:t>
      </w:r>
      <w:r w:rsidR="00E72D4B">
        <w:t xml:space="preserve">(any track) </w:t>
      </w:r>
      <w:r w:rsidRPr="00DB2270">
        <w:t>– can only be denied once</w:t>
      </w:r>
      <w:r w:rsidR="00E72D4B">
        <w:t xml:space="preserve"> </w:t>
      </w:r>
    </w:p>
    <w:p w:rsidR="00D32120" w:rsidRPr="00D32120" w:rsidRDefault="00D32120" w:rsidP="00D32120">
      <w:pPr>
        <w:pStyle w:val="ListParagraph"/>
        <w:ind w:left="810"/>
      </w:pPr>
    </w:p>
    <w:p w:rsidR="00F65321" w:rsidRDefault="00F65321" w:rsidP="00DC6F56">
      <w:pPr>
        <w:pStyle w:val="ListParagraph"/>
        <w:numPr>
          <w:ilvl w:val="2"/>
          <w:numId w:val="1"/>
        </w:numPr>
      </w:pPr>
      <w:r w:rsidRPr="001A75C2">
        <w:rPr>
          <w:b/>
        </w:rPr>
        <w:t xml:space="preserve">Faculty vote – </w:t>
      </w:r>
      <w:r w:rsidR="001A75C2" w:rsidRPr="001A75C2">
        <w:rPr>
          <w:b/>
        </w:rPr>
        <w:t xml:space="preserve">Who’s </w:t>
      </w:r>
      <w:r w:rsidR="00E476CC" w:rsidRPr="001A75C2">
        <w:rPr>
          <w:b/>
        </w:rPr>
        <w:t>eligible</w:t>
      </w:r>
      <w:r w:rsidR="001A5F99" w:rsidRPr="001A75C2">
        <w:rPr>
          <w:b/>
        </w:rPr>
        <w:t xml:space="preserve"> &amp;</w:t>
      </w:r>
      <w:r w:rsidR="001A75C2" w:rsidRPr="001A75C2">
        <w:rPr>
          <w:b/>
        </w:rPr>
        <w:t xml:space="preserve"> what’s the</w:t>
      </w:r>
      <w:r w:rsidR="001A5F99" w:rsidRPr="001A75C2">
        <w:rPr>
          <w:b/>
        </w:rPr>
        <w:t xml:space="preserve"> process</w:t>
      </w:r>
      <w:r w:rsidR="001A75C2" w:rsidRPr="001A75C2">
        <w:rPr>
          <w:b/>
        </w:rPr>
        <w:t>?</w:t>
      </w:r>
      <w:r w:rsidR="001A5F99">
        <w:t xml:space="preserve"> </w:t>
      </w:r>
      <w:r w:rsidR="00DC6F56">
        <w:t>Verify how Quorum is defined in your department’s Appointment, Promotion &amp; Tenure document (</w:t>
      </w:r>
      <w:r w:rsidR="00721202">
        <w:t xml:space="preserve">e.g. 2/3, majority - </w:t>
      </w:r>
      <w:r w:rsidR="00DC6F56">
        <w:t>each department is different). For other voting questions, r</w:t>
      </w:r>
      <w:r>
        <w:t>eference “</w:t>
      </w:r>
      <w:hyperlink r:id="rId19" w:history="1">
        <w:r w:rsidRPr="00F65321">
          <w:rPr>
            <w:rStyle w:val="Hyperlink"/>
          </w:rPr>
          <w:t>Who Votes? FAQ re: APT in the COM</w:t>
        </w:r>
      </w:hyperlink>
      <w:r>
        <w:t>”</w:t>
      </w:r>
    </w:p>
    <w:p w:rsidR="00DB2270" w:rsidRDefault="00DB2270" w:rsidP="00C81B47">
      <w:pPr>
        <w:pStyle w:val="ListParagraph"/>
        <w:ind w:left="810"/>
      </w:pPr>
    </w:p>
    <w:p w:rsidR="0043729A" w:rsidRPr="00F83195" w:rsidRDefault="0043729A" w:rsidP="00952DE5">
      <w:pPr>
        <w:pStyle w:val="ListParagraph"/>
        <w:numPr>
          <w:ilvl w:val="2"/>
          <w:numId w:val="1"/>
        </w:numPr>
        <w:rPr>
          <w:bCs/>
        </w:rPr>
      </w:pPr>
      <w:r w:rsidRPr="00F83195">
        <w:rPr>
          <w:b/>
        </w:rPr>
        <w:t xml:space="preserve">What is a POD and where can I find more information their responsibilities? </w:t>
      </w:r>
      <w:r w:rsidRPr="00F83195">
        <w:rPr>
          <w:bCs/>
        </w:rPr>
        <w:t>A POD stands for Procedure</w:t>
      </w:r>
      <w:r w:rsidR="00C43121" w:rsidRPr="00F83195">
        <w:rPr>
          <w:bCs/>
        </w:rPr>
        <w:t>s</w:t>
      </w:r>
      <w:r w:rsidRPr="00F83195">
        <w:rPr>
          <w:bCs/>
        </w:rPr>
        <w:t xml:space="preserve"> Oversight Designee.</w:t>
      </w:r>
      <w:r w:rsidRPr="00F83195">
        <w:rPr>
          <w:b/>
        </w:rPr>
        <w:t xml:space="preserve"> </w:t>
      </w:r>
      <w:r w:rsidRPr="00F83195">
        <w:rPr>
          <w:bCs/>
        </w:rPr>
        <w:t xml:space="preserve">Find more POD Guidelines and Responsibilities including a video from Dr. Oberyszyn on the </w:t>
      </w:r>
      <w:hyperlink r:id="rId20" w:history="1">
        <w:r w:rsidRPr="00F83195">
          <w:rPr>
            <w:rStyle w:val="Hyperlink"/>
            <w:bCs/>
          </w:rPr>
          <w:t>APT Toolbox</w:t>
        </w:r>
      </w:hyperlink>
      <w:r w:rsidRPr="00F83195">
        <w:rPr>
          <w:bCs/>
        </w:rPr>
        <w:t xml:space="preserve"> section 4.</w:t>
      </w:r>
    </w:p>
    <w:p w:rsidR="0043729A" w:rsidRPr="00F83195" w:rsidRDefault="0043729A" w:rsidP="00F83195">
      <w:pPr>
        <w:pStyle w:val="ListParagraph"/>
        <w:rPr>
          <w:b/>
          <w:highlight w:val="yellow"/>
        </w:rPr>
      </w:pPr>
    </w:p>
    <w:p w:rsidR="00502EFD" w:rsidRPr="00653BA4" w:rsidRDefault="00502EFD" w:rsidP="00952DE5">
      <w:pPr>
        <w:pStyle w:val="ListParagraph"/>
        <w:numPr>
          <w:ilvl w:val="2"/>
          <w:numId w:val="1"/>
        </w:numPr>
        <w:rPr>
          <w:b/>
        </w:rPr>
      </w:pPr>
      <w:r w:rsidRPr="00653BA4">
        <w:rPr>
          <w:b/>
        </w:rPr>
        <w:t xml:space="preserve">Can a </w:t>
      </w:r>
      <w:r w:rsidR="005E6E41" w:rsidRPr="00653BA4">
        <w:rPr>
          <w:b/>
        </w:rPr>
        <w:t>Procedur</w:t>
      </w:r>
      <w:r w:rsidR="005E6E41">
        <w:rPr>
          <w:b/>
        </w:rPr>
        <w:t>es</w:t>
      </w:r>
      <w:r w:rsidR="005E6E41" w:rsidRPr="00653BA4">
        <w:rPr>
          <w:b/>
        </w:rPr>
        <w:t xml:space="preserve"> </w:t>
      </w:r>
      <w:r w:rsidRPr="00653BA4">
        <w:rPr>
          <w:b/>
        </w:rPr>
        <w:t xml:space="preserve">Oversight Designee (POD) be an </w:t>
      </w:r>
      <w:r w:rsidRPr="00F83195">
        <w:rPr>
          <w:b/>
        </w:rPr>
        <w:t>A</w:t>
      </w:r>
      <w:r w:rsidRPr="00653BA4">
        <w:rPr>
          <w:b/>
        </w:rPr>
        <w:t xml:space="preserve">ssociate </w:t>
      </w:r>
      <w:r w:rsidRPr="00F83195">
        <w:rPr>
          <w:b/>
        </w:rPr>
        <w:t>P</w:t>
      </w:r>
      <w:r w:rsidRPr="00653BA4">
        <w:rPr>
          <w:b/>
        </w:rPr>
        <w:t>rofessor rank for a Professor rank case</w:t>
      </w:r>
      <w:r w:rsidRPr="00F83195">
        <w:rPr>
          <w:b/>
        </w:rPr>
        <w:t xml:space="preserve"> (any track)</w:t>
      </w:r>
      <w:r w:rsidRPr="00653BA4">
        <w:rPr>
          <w:b/>
        </w:rPr>
        <w:t xml:space="preserve">? </w:t>
      </w:r>
      <w:r w:rsidRPr="00F83195">
        <w:rPr>
          <w:bCs/>
        </w:rPr>
        <w:t xml:space="preserve">Yes, </w:t>
      </w:r>
      <w:r w:rsidRPr="00653BA4">
        <w:rPr>
          <w:bCs/>
        </w:rPr>
        <w:t xml:space="preserve">they can serve as the POD, </w:t>
      </w:r>
      <w:r w:rsidRPr="00F83195">
        <w:rPr>
          <w:bCs/>
        </w:rPr>
        <w:t xml:space="preserve">but they </w:t>
      </w:r>
      <w:r w:rsidRPr="00653BA4">
        <w:rPr>
          <w:bCs/>
        </w:rPr>
        <w:t>cannot</w:t>
      </w:r>
      <w:r w:rsidRPr="00F83195">
        <w:rPr>
          <w:bCs/>
        </w:rPr>
        <w:t xml:space="preserve"> vote on the case.</w:t>
      </w:r>
      <w:r w:rsidRPr="00F07408">
        <w:rPr>
          <w:bCs/>
        </w:rPr>
        <w:t xml:space="preserve"> </w:t>
      </w:r>
      <w:r w:rsidR="00F07408" w:rsidRPr="00F07408">
        <w:rPr>
          <w:bCs/>
        </w:rPr>
        <w:t>As part of their POD responsibilities, they must be present at the voting meeting.</w:t>
      </w:r>
    </w:p>
    <w:p w:rsidR="00502EFD" w:rsidRPr="00F83195" w:rsidRDefault="00502EFD" w:rsidP="00F83195">
      <w:pPr>
        <w:pStyle w:val="ListParagraph"/>
        <w:rPr>
          <w:b/>
        </w:rPr>
      </w:pPr>
    </w:p>
    <w:p w:rsidR="00952DE5" w:rsidRPr="001A75C2" w:rsidRDefault="00952DE5" w:rsidP="00952DE5">
      <w:pPr>
        <w:pStyle w:val="ListParagraph"/>
        <w:numPr>
          <w:ilvl w:val="2"/>
          <w:numId w:val="1"/>
        </w:numPr>
        <w:rPr>
          <w:b/>
        </w:rPr>
      </w:pPr>
      <w:r w:rsidRPr="001A75C2">
        <w:rPr>
          <w:b/>
        </w:rPr>
        <w:t xml:space="preserve">When </w:t>
      </w:r>
      <w:r>
        <w:rPr>
          <w:b/>
        </w:rPr>
        <w:t xml:space="preserve">can a </w:t>
      </w:r>
      <w:r w:rsidRPr="001A75C2">
        <w:rPr>
          <w:b/>
        </w:rPr>
        <w:t xml:space="preserve">faculty see </w:t>
      </w:r>
      <w:r>
        <w:rPr>
          <w:b/>
        </w:rPr>
        <w:t xml:space="preserve">their </w:t>
      </w:r>
      <w:r w:rsidRPr="001A75C2">
        <w:rPr>
          <w:b/>
        </w:rPr>
        <w:t xml:space="preserve">dossier during process? </w:t>
      </w:r>
    </w:p>
    <w:p w:rsidR="00952DE5" w:rsidRDefault="00952DE5" w:rsidP="00952DE5">
      <w:pPr>
        <w:pStyle w:val="ListParagraph"/>
        <w:numPr>
          <w:ilvl w:val="3"/>
          <w:numId w:val="1"/>
        </w:numPr>
      </w:pPr>
      <w:r>
        <w:t xml:space="preserve">During 10 day comment period after department review </w:t>
      </w:r>
    </w:p>
    <w:p w:rsidR="00952DE5" w:rsidRDefault="00952DE5" w:rsidP="00952DE5">
      <w:pPr>
        <w:pStyle w:val="ListParagraph"/>
        <w:numPr>
          <w:ilvl w:val="3"/>
          <w:numId w:val="1"/>
        </w:numPr>
      </w:pPr>
      <w:r>
        <w:t>During 10 day comment period after college review</w:t>
      </w:r>
    </w:p>
    <w:p w:rsidR="00952DE5" w:rsidRDefault="00952DE5" w:rsidP="00952DE5">
      <w:pPr>
        <w:pStyle w:val="ListParagraph"/>
        <w:numPr>
          <w:ilvl w:val="3"/>
          <w:numId w:val="1"/>
        </w:numPr>
      </w:pPr>
      <w:r>
        <w:t>After final university approval</w:t>
      </w:r>
    </w:p>
    <w:p w:rsidR="00952DE5" w:rsidRDefault="00952DE5" w:rsidP="00952DE5">
      <w:pPr>
        <w:pStyle w:val="ListParagraph"/>
        <w:ind w:left="810"/>
        <w:rPr>
          <w:b/>
        </w:rPr>
      </w:pPr>
    </w:p>
    <w:p w:rsidR="00DB2270" w:rsidRPr="00D32120" w:rsidRDefault="00952DE5" w:rsidP="00D32120">
      <w:pPr>
        <w:pStyle w:val="ListParagraph"/>
        <w:numPr>
          <w:ilvl w:val="2"/>
          <w:numId w:val="1"/>
        </w:numPr>
        <w:rPr>
          <w:b/>
        </w:rPr>
      </w:pPr>
      <w:r>
        <w:rPr>
          <w:b/>
        </w:rPr>
        <w:t xml:space="preserve">What is sent to the faculty in the Notifications/Comments process? </w:t>
      </w:r>
      <w:r>
        <w:rPr>
          <w:bCs/>
        </w:rPr>
        <w:t>The department will send the faculty a notifications letter/email and the comments Form 103.</w:t>
      </w:r>
      <w:r w:rsidR="003519CA">
        <w:rPr>
          <w:bCs/>
        </w:rPr>
        <w:t xml:space="preserve"> There is a template notification letter in the </w:t>
      </w:r>
      <w:hyperlink r:id="rId21" w:history="1">
        <w:r w:rsidR="003519CA" w:rsidRPr="003519CA">
          <w:rPr>
            <w:rStyle w:val="Hyperlink"/>
            <w:bCs/>
          </w:rPr>
          <w:t>APT Toolbox</w:t>
        </w:r>
      </w:hyperlink>
      <w:r w:rsidR="003519CA">
        <w:rPr>
          <w:bCs/>
        </w:rPr>
        <w:t xml:space="preserve"> section 3b.</w:t>
      </w:r>
      <w:r>
        <w:rPr>
          <w:bCs/>
        </w:rPr>
        <w:t xml:space="preserve"> Departments may also include the P&amp;T Chair letter and the TIU Chair letter. </w:t>
      </w:r>
    </w:p>
    <w:p w:rsidR="00D32120" w:rsidRPr="00D32120" w:rsidRDefault="00D32120" w:rsidP="00D32120">
      <w:pPr>
        <w:pStyle w:val="ListParagraph"/>
        <w:ind w:left="810"/>
        <w:rPr>
          <w:b/>
        </w:rPr>
      </w:pPr>
    </w:p>
    <w:p w:rsidR="0018458B" w:rsidRPr="00F83195" w:rsidRDefault="001C2852" w:rsidP="00F94F33">
      <w:pPr>
        <w:pStyle w:val="ListParagraph"/>
        <w:numPr>
          <w:ilvl w:val="2"/>
          <w:numId w:val="1"/>
        </w:numPr>
      </w:pPr>
      <w:r w:rsidRPr="002C0CCF">
        <w:rPr>
          <w:b/>
          <w:bCs/>
        </w:rPr>
        <w:t xml:space="preserve">What happens to the dossier if there is a negative vote/decision at the department or college level? </w:t>
      </w:r>
    </w:p>
    <w:p w:rsidR="0018458B" w:rsidRDefault="0018458B" w:rsidP="00F83195">
      <w:pPr>
        <w:pStyle w:val="ListParagraph"/>
      </w:pPr>
    </w:p>
    <w:p w:rsidR="0018458B" w:rsidRDefault="001C2852" w:rsidP="00F83195">
      <w:pPr>
        <w:pStyle w:val="ListParagraph"/>
        <w:numPr>
          <w:ilvl w:val="3"/>
          <w:numId w:val="1"/>
        </w:numPr>
      </w:pPr>
      <w:r w:rsidRPr="002C0CCF">
        <w:t xml:space="preserve">For </w:t>
      </w:r>
      <w:r w:rsidRPr="001B4D0C">
        <w:rPr>
          <w:u w:val="single"/>
        </w:rPr>
        <w:t>non-mandatory</w:t>
      </w:r>
      <w:r w:rsidRPr="002C0CCF">
        <w:t xml:space="preserve"> reviews,</w:t>
      </w:r>
      <w:r w:rsidRPr="002C0CCF">
        <w:rPr>
          <w:b/>
          <w:bCs/>
        </w:rPr>
        <w:t xml:space="preserve"> </w:t>
      </w:r>
      <w:r w:rsidRPr="002C0CCF">
        <w:t xml:space="preserve">once </w:t>
      </w:r>
      <w:r w:rsidR="0034187E">
        <w:t xml:space="preserve">the department has sent out </w:t>
      </w:r>
      <w:r w:rsidR="001B4D0C">
        <w:t xml:space="preserve">external evaluation </w:t>
      </w:r>
      <w:r w:rsidR="0034187E">
        <w:t xml:space="preserve">requests, </w:t>
      </w:r>
      <w:r w:rsidRPr="002C0CCF">
        <w:t xml:space="preserve">the process </w:t>
      </w:r>
      <w:r w:rsidR="0034187E">
        <w:t>officially begins and</w:t>
      </w:r>
      <w:r w:rsidRPr="002C0CCF">
        <w:t xml:space="preserve"> only the faculty candidate can stop the process</w:t>
      </w:r>
      <w:r w:rsidR="0034187E">
        <w:t xml:space="preserve"> moving forward</w:t>
      </w:r>
      <w:r w:rsidRPr="002C0CCF">
        <w:t xml:space="preserve">. </w:t>
      </w:r>
      <w:r w:rsidR="001B4D0C">
        <w:t>If there is a negative vote/decision at the department or college level, t</w:t>
      </w:r>
      <w:r w:rsidRPr="002C0CCF">
        <w:t xml:space="preserve">he dossier will continue to move forward unless the faculty candidate withdraws it. </w:t>
      </w:r>
      <w:r w:rsidR="0018458B">
        <w:tab/>
      </w:r>
    </w:p>
    <w:p w:rsidR="0018458B" w:rsidRDefault="0018458B" w:rsidP="00F83195">
      <w:pPr>
        <w:pStyle w:val="ListParagraph"/>
      </w:pPr>
    </w:p>
    <w:p w:rsidR="0023689C" w:rsidRDefault="001C2852" w:rsidP="00F83195">
      <w:pPr>
        <w:pStyle w:val="ListParagraph"/>
        <w:numPr>
          <w:ilvl w:val="3"/>
          <w:numId w:val="1"/>
        </w:numPr>
      </w:pPr>
      <w:r w:rsidRPr="002C0CCF">
        <w:t xml:space="preserve">For </w:t>
      </w:r>
      <w:r w:rsidRPr="001B4D0C">
        <w:rPr>
          <w:u w:val="single"/>
        </w:rPr>
        <w:t>mandatory</w:t>
      </w:r>
      <w:r w:rsidRPr="002C0CCF">
        <w:t xml:space="preserve"> review for tenure, the process will continue up to the University.</w:t>
      </w:r>
      <w:r w:rsidR="0018458B">
        <w:t xml:space="preserve"> If the faculty candidate withdraws from the process, they must include a letter of resignation with their withdrawal. </w:t>
      </w:r>
      <w:r w:rsidRPr="002C0CCF">
        <w:t xml:space="preserve"> </w:t>
      </w:r>
    </w:p>
    <w:p w:rsidR="002C0CCF" w:rsidRDefault="002C0CCF" w:rsidP="002C0CCF">
      <w:pPr>
        <w:pStyle w:val="ListParagraph"/>
      </w:pPr>
    </w:p>
    <w:p w:rsidR="0018458B" w:rsidRDefault="002C0CCF" w:rsidP="002C0CCF">
      <w:pPr>
        <w:pStyle w:val="ListParagraph"/>
        <w:numPr>
          <w:ilvl w:val="2"/>
          <w:numId w:val="1"/>
        </w:numPr>
      </w:pPr>
      <w:r>
        <w:rPr>
          <w:b/>
          <w:bCs/>
        </w:rPr>
        <w:t>Consequences</w:t>
      </w:r>
      <w:r w:rsidRPr="002C0CCF">
        <w:rPr>
          <w:b/>
          <w:bCs/>
        </w:rPr>
        <w:t xml:space="preserve"> for a faculty candidate to withdraw their dossier</w:t>
      </w:r>
      <w:r w:rsidR="001B4D0C">
        <w:rPr>
          <w:b/>
          <w:bCs/>
        </w:rPr>
        <w:t xml:space="preserve"> (non-mandatory review only)</w:t>
      </w:r>
      <w:r>
        <w:t xml:space="preserve">? </w:t>
      </w:r>
    </w:p>
    <w:p w:rsidR="00FE09AD" w:rsidRDefault="0018458B" w:rsidP="00FE09AD">
      <w:pPr>
        <w:pStyle w:val="ListParagraph"/>
        <w:numPr>
          <w:ilvl w:val="3"/>
          <w:numId w:val="1"/>
        </w:numPr>
      </w:pPr>
      <w:r w:rsidRPr="00F83195">
        <w:rPr>
          <w:u w:val="single"/>
        </w:rPr>
        <w:t>Non-Mandatory</w:t>
      </w:r>
      <w:r>
        <w:t xml:space="preserve"> for tenure</w:t>
      </w:r>
      <w:r w:rsidR="001C2852" w:rsidRPr="002C0CCF">
        <w:t>, the faculty candidate can withdraw and there are no consequences. The faculty does not have to start again the following year (only if they choose or if it’s a mandatory review).</w:t>
      </w:r>
    </w:p>
    <w:p w:rsidR="0018458B" w:rsidRDefault="00A30677" w:rsidP="00F83195">
      <w:pPr>
        <w:pStyle w:val="ListParagraph"/>
        <w:numPr>
          <w:ilvl w:val="3"/>
          <w:numId w:val="1"/>
        </w:numPr>
      </w:pPr>
      <w:r w:rsidRPr="00FE09AD">
        <w:rPr>
          <w:u w:val="single"/>
        </w:rPr>
        <w:t>M</w:t>
      </w:r>
      <w:r w:rsidR="0018458B" w:rsidRPr="00FE09AD">
        <w:rPr>
          <w:u w:val="single"/>
        </w:rPr>
        <w:t>andatory</w:t>
      </w:r>
      <w:r w:rsidR="0018458B" w:rsidRPr="002C0CCF">
        <w:t xml:space="preserve"> review for tenure, </w:t>
      </w:r>
      <w:r w:rsidR="0018458B">
        <w:t xml:space="preserve">if the faculty candidate withdraws from the process, they must include a letter of resignation with their withdrawal. </w:t>
      </w:r>
      <w:r w:rsidR="0018458B" w:rsidRPr="002C0CCF">
        <w:t xml:space="preserve"> </w:t>
      </w:r>
    </w:p>
    <w:p w:rsidR="002C0CCF" w:rsidRDefault="002C0CCF" w:rsidP="002C0CCF">
      <w:pPr>
        <w:pStyle w:val="ListParagraph"/>
      </w:pPr>
    </w:p>
    <w:p w:rsidR="002D4A84" w:rsidRPr="00EE7A5F" w:rsidRDefault="002C0CCF" w:rsidP="00A07108">
      <w:r w:rsidRPr="002C0CCF">
        <w:rPr>
          <w:b/>
          <w:bCs/>
        </w:rPr>
        <w:t xml:space="preserve">What happens if a faculty </w:t>
      </w:r>
      <w:r>
        <w:rPr>
          <w:b/>
          <w:bCs/>
        </w:rPr>
        <w:t xml:space="preserve">candidate </w:t>
      </w:r>
      <w:r w:rsidRPr="002C0CCF">
        <w:rPr>
          <w:b/>
          <w:bCs/>
        </w:rPr>
        <w:t xml:space="preserve">resigns from the University during the P&amp;T </w:t>
      </w:r>
      <w:r>
        <w:rPr>
          <w:b/>
          <w:bCs/>
        </w:rPr>
        <w:t>p</w:t>
      </w:r>
      <w:r w:rsidRPr="002C0CCF">
        <w:rPr>
          <w:b/>
          <w:bCs/>
        </w:rPr>
        <w:t>rocess?</w:t>
      </w:r>
      <w:r>
        <w:t xml:space="preserve"> The college Office of Faculty Affairs needs to be informed. Their dossier will be withdrawn, and the department needs to notify the faculty their dossier will not move forward upon resignation. </w:t>
      </w:r>
    </w:p>
    <w:sectPr w:rsidR="002D4A84" w:rsidRPr="00EE7A5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559" w:rsidRDefault="008C4559" w:rsidP="0025421A">
      <w:pPr>
        <w:spacing w:after="0" w:line="240" w:lineRule="auto"/>
      </w:pPr>
      <w:r>
        <w:separator/>
      </w:r>
    </w:p>
  </w:endnote>
  <w:endnote w:type="continuationSeparator" w:id="0">
    <w:p w:rsidR="008C4559" w:rsidRDefault="008C4559" w:rsidP="0025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21A" w:rsidRDefault="00FF2DEA">
    <w:pPr>
      <w:pStyle w:val="Footer"/>
    </w:pPr>
    <w:r>
      <w:t xml:space="preserve">Nov </w:t>
    </w:r>
    <w:r w:rsidR="007E419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559" w:rsidRDefault="008C4559" w:rsidP="0025421A">
      <w:pPr>
        <w:spacing w:after="0" w:line="240" w:lineRule="auto"/>
      </w:pPr>
      <w:r>
        <w:separator/>
      </w:r>
    </w:p>
  </w:footnote>
  <w:footnote w:type="continuationSeparator" w:id="0">
    <w:p w:rsidR="008C4559" w:rsidRDefault="008C4559" w:rsidP="0025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E6B"/>
    <w:multiLevelType w:val="hybridMultilevel"/>
    <w:tmpl w:val="41D2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5">
      <w:start w:val="1"/>
      <w:numFmt w:val="bullet"/>
      <w:lvlText w:val=""/>
      <w:lvlJc w:val="left"/>
      <w:pPr>
        <w:ind w:left="27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030C8"/>
    <w:multiLevelType w:val="multilevel"/>
    <w:tmpl w:val="3224EC6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15:restartNumberingAfterBreak="0">
    <w:nsid w:val="0DD4403A"/>
    <w:multiLevelType w:val="hybridMultilevel"/>
    <w:tmpl w:val="7A9A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32D7"/>
    <w:multiLevelType w:val="hybridMultilevel"/>
    <w:tmpl w:val="515E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D5999"/>
    <w:multiLevelType w:val="hybridMultilevel"/>
    <w:tmpl w:val="31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F294F"/>
    <w:multiLevelType w:val="hybridMultilevel"/>
    <w:tmpl w:val="997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23035"/>
    <w:multiLevelType w:val="hybridMultilevel"/>
    <w:tmpl w:val="3AB2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4702F9"/>
    <w:multiLevelType w:val="hybridMultilevel"/>
    <w:tmpl w:val="541AD5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8B36E8"/>
    <w:multiLevelType w:val="hybridMultilevel"/>
    <w:tmpl w:val="2D7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3AB9"/>
    <w:multiLevelType w:val="hybridMultilevel"/>
    <w:tmpl w:val="34DA15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782625F"/>
    <w:multiLevelType w:val="hybridMultilevel"/>
    <w:tmpl w:val="4CD03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F875E9"/>
    <w:multiLevelType w:val="hybridMultilevel"/>
    <w:tmpl w:val="54C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03894"/>
    <w:multiLevelType w:val="hybridMultilevel"/>
    <w:tmpl w:val="8B16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23717"/>
    <w:multiLevelType w:val="hybridMultilevel"/>
    <w:tmpl w:val="7072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4117F"/>
    <w:multiLevelType w:val="hybridMultilevel"/>
    <w:tmpl w:val="C1C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B64E0"/>
    <w:multiLevelType w:val="hybridMultilevel"/>
    <w:tmpl w:val="4E1C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7572B"/>
    <w:multiLevelType w:val="hybridMultilevel"/>
    <w:tmpl w:val="BA748F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ED2795"/>
    <w:multiLevelType w:val="hybridMultilevel"/>
    <w:tmpl w:val="82B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947397">
    <w:abstractNumId w:val="0"/>
  </w:num>
  <w:num w:numId="2" w16cid:durableId="595869422">
    <w:abstractNumId w:val="0"/>
  </w:num>
  <w:num w:numId="3" w16cid:durableId="2087411729">
    <w:abstractNumId w:val="16"/>
  </w:num>
  <w:num w:numId="4" w16cid:durableId="1669480362">
    <w:abstractNumId w:val="6"/>
  </w:num>
  <w:num w:numId="5" w16cid:durableId="1383291669">
    <w:abstractNumId w:val="11"/>
  </w:num>
  <w:num w:numId="6" w16cid:durableId="1905798199">
    <w:abstractNumId w:val="1"/>
  </w:num>
  <w:num w:numId="7" w16cid:durableId="1442916507">
    <w:abstractNumId w:val="17"/>
  </w:num>
  <w:num w:numId="8" w16cid:durableId="1939294484">
    <w:abstractNumId w:val="9"/>
  </w:num>
  <w:num w:numId="9" w16cid:durableId="1721707005">
    <w:abstractNumId w:val="4"/>
  </w:num>
  <w:num w:numId="10" w16cid:durableId="2107264547">
    <w:abstractNumId w:val="10"/>
  </w:num>
  <w:num w:numId="11" w16cid:durableId="1907371447">
    <w:abstractNumId w:val="3"/>
  </w:num>
  <w:num w:numId="12" w16cid:durableId="381252665">
    <w:abstractNumId w:val="2"/>
  </w:num>
  <w:num w:numId="13" w16cid:durableId="990251530">
    <w:abstractNumId w:val="8"/>
  </w:num>
  <w:num w:numId="14" w16cid:durableId="812985806">
    <w:abstractNumId w:val="14"/>
  </w:num>
  <w:num w:numId="15" w16cid:durableId="470754775">
    <w:abstractNumId w:val="15"/>
  </w:num>
  <w:num w:numId="16" w16cid:durableId="840127160">
    <w:abstractNumId w:val="5"/>
  </w:num>
  <w:num w:numId="17" w16cid:durableId="1825773561">
    <w:abstractNumId w:val="12"/>
  </w:num>
  <w:num w:numId="18" w16cid:durableId="678393161">
    <w:abstractNumId w:val="7"/>
  </w:num>
  <w:num w:numId="19" w16cid:durableId="1739863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CA"/>
    <w:rsid w:val="00014914"/>
    <w:rsid w:val="000207FD"/>
    <w:rsid w:val="00044E39"/>
    <w:rsid w:val="00053A75"/>
    <w:rsid w:val="000639B0"/>
    <w:rsid w:val="000B2E3E"/>
    <w:rsid w:val="000B4C0B"/>
    <w:rsid w:val="00102021"/>
    <w:rsid w:val="00111B47"/>
    <w:rsid w:val="00115F44"/>
    <w:rsid w:val="00117CC6"/>
    <w:rsid w:val="001200E1"/>
    <w:rsid w:val="001314C1"/>
    <w:rsid w:val="00132D7E"/>
    <w:rsid w:val="00141534"/>
    <w:rsid w:val="0018458B"/>
    <w:rsid w:val="001A5F99"/>
    <w:rsid w:val="001A75C2"/>
    <w:rsid w:val="001B4D0C"/>
    <w:rsid w:val="001C2852"/>
    <w:rsid w:val="001C3195"/>
    <w:rsid w:val="001C3859"/>
    <w:rsid w:val="001D27FC"/>
    <w:rsid w:val="001F230A"/>
    <w:rsid w:val="001F7B21"/>
    <w:rsid w:val="00221FF4"/>
    <w:rsid w:val="0022446D"/>
    <w:rsid w:val="0023689C"/>
    <w:rsid w:val="0025421A"/>
    <w:rsid w:val="00277F15"/>
    <w:rsid w:val="00280C2B"/>
    <w:rsid w:val="00294179"/>
    <w:rsid w:val="002B6CF9"/>
    <w:rsid w:val="002C0CCF"/>
    <w:rsid w:val="002C343B"/>
    <w:rsid w:val="002D1C38"/>
    <w:rsid w:val="002D291F"/>
    <w:rsid w:val="002D4A84"/>
    <w:rsid w:val="002F08FB"/>
    <w:rsid w:val="003042A8"/>
    <w:rsid w:val="00306B72"/>
    <w:rsid w:val="00320B4C"/>
    <w:rsid w:val="0033358C"/>
    <w:rsid w:val="0034187E"/>
    <w:rsid w:val="003424E8"/>
    <w:rsid w:val="0035132B"/>
    <w:rsid w:val="003519CA"/>
    <w:rsid w:val="003660CF"/>
    <w:rsid w:val="0037470D"/>
    <w:rsid w:val="0038403D"/>
    <w:rsid w:val="00387703"/>
    <w:rsid w:val="003A11F9"/>
    <w:rsid w:val="003A51F8"/>
    <w:rsid w:val="00403234"/>
    <w:rsid w:val="004314BB"/>
    <w:rsid w:val="004354BD"/>
    <w:rsid w:val="00436C22"/>
    <w:rsid w:val="0043729A"/>
    <w:rsid w:val="004547CA"/>
    <w:rsid w:val="004746D2"/>
    <w:rsid w:val="0048097F"/>
    <w:rsid w:val="004931CF"/>
    <w:rsid w:val="00496D41"/>
    <w:rsid w:val="004D68CA"/>
    <w:rsid w:val="004E278C"/>
    <w:rsid w:val="00502EFD"/>
    <w:rsid w:val="00503788"/>
    <w:rsid w:val="0051006D"/>
    <w:rsid w:val="0051042B"/>
    <w:rsid w:val="00562416"/>
    <w:rsid w:val="00563B95"/>
    <w:rsid w:val="005733EE"/>
    <w:rsid w:val="005739A2"/>
    <w:rsid w:val="00582084"/>
    <w:rsid w:val="005A1033"/>
    <w:rsid w:val="005A2863"/>
    <w:rsid w:val="005B394B"/>
    <w:rsid w:val="005B6CA7"/>
    <w:rsid w:val="005E573A"/>
    <w:rsid w:val="005E590A"/>
    <w:rsid w:val="005E6E41"/>
    <w:rsid w:val="005F2B84"/>
    <w:rsid w:val="00603A53"/>
    <w:rsid w:val="00616F23"/>
    <w:rsid w:val="00645634"/>
    <w:rsid w:val="00653BA4"/>
    <w:rsid w:val="0067100C"/>
    <w:rsid w:val="006942B3"/>
    <w:rsid w:val="006D3979"/>
    <w:rsid w:val="006D55BB"/>
    <w:rsid w:val="006D58F1"/>
    <w:rsid w:val="006D62F9"/>
    <w:rsid w:val="006D7AB5"/>
    <w:rsid w:val="006E36D7"/>
    <w:rsid w:val="006F0B66"/>
    <w:rsid w:val="006F4904"/>
    <w:rsid w:val="0070282E"/>
    <w:rsid w:val="007207C0"/>
    <w:rsid w:val="00721202"/>
    <w:rsid w:val="00741384"/>
    <w:rsid w:val="007570CF"/>
    <w:rsid w:val="00762FDF"/>
    <w:rsid w:val="00765BDE"/>
    <w:rsid w:val="007D0CCD"/>
    <w:rsid w:val="007D25B1"/>
    <w:rsid w:val="007E074F"/>
    <w:rsid w:val="007E0D06"/>
    <w:rsid w:val="007E419F"/>
    <w:rsid w:val="007F3D5D"/>
    <w:rsid w:val="008122A9"/>
    <w:rsid w:val="008123AB"/>
    <w:rsid w:val="0083656B"/>
    <w:rsid w:val="00836E7E"/>
    <w:rsid w:val="008411F6"/>
    <w:rsid w:val="00852183"/>
    <w:rsid w:val="00853FB4"/>
    <w:rsid w:val="00882A54"/>
    <w:rsid w:val="00886FAC"/>
    <w:rsid w:val="008B433A"/>
    <w:rsid w:val="008C2E38"/>
    <w:rsid w:val="008C4559"/>
    <w:rsid w:val="008E1443"/>
    <w:rsid w:val="008E2AA4"/>
    <w:rsid w:val="008F430C"/>
    <w:rsid w:val="00931ED0"/>
    <w:rsid w:val="00932629"/>
    <w:rsid w:val="00944435"/>
    <w:rsid w:val="00952DE5"/>
    <w:rsid w:val="00953760"/>
    <w:rsid w:val="00972868"/>
    <w:rsid w:val="00975854"/>
    <w:rsid w:val="00977122"/>
    <w:rsid w:val="009826FC"/>
    <w:rsid w:val="009A43D2"/>
    <w:rsid w:val="009B6789"/>
    <w:rsid w:val="009B7802"/>
    <w:rsid w:val="009C29DA"/>
    <w:rsid w:val="009C30CF"/>
    <w:rsid w:val="009C3D65"/>
    <w:rsid w:val="009E504F"/>
    <w:rsid w:val="00A07108"/>
    <w:rsid w:val="00A30677"/>
    <w:rsid w:val="00A3640D"/>
    <w:rsid w:val="00A70652"/>
    <w:rsid w:val="00A8488C"/>
    <w:rsid w:val="00A85EDA"/>
    <w:rsid w:val="00A86D7A"/>
    <w:rsid w:val="00A94BD1"/>
    <w:rsid w:val="00AA57A5"/>
    <w:rsid w:val="00AA5C17"/>
    <w:rsid w:val="00AD7BA4"/>
    <w:rsid w:val="00B01BFA"/>
    <w:rsid w:val="00B152B3"/>
    <w:rsid w:val="00B3690A"/>
    <w:rsid w:val="00B575B5"/>
    <w:rsid w:val="00B771D6"/>
    <w:rsid w:val="00B87A55"/>
    <w:rsid w:val="00B96E11"/>
    <w:rsid w:val="00BA0F73"/>
    <w:rsid w:val="00BA4539"/>
    <w:rsid w:val="00BB38C3"/>
    <w:rsid w:val="00BD03C3"/>
    <w:rsid w:val="00BD487A"/>
    <w:rsid w:val="00BE5E7B"/>
    <w:rsid w:val="00BF4371"/>
    <w:rsid w:val="00BF57F8"/>
    <w:rsid w:val="00C02B9A"/>
    <w:rsid w:val="00C07AA6"/>
    <w:rsid w:val="00C43121"/>
    <w:rsid w:val="00C504A5"/>
    <w:rsid w:val="00C81B47"/>
    <w:rsid w:val="00CA09E1"/>
    <w:rsid w:val="00CA53B4"/>
    <w:rsid w:val="00CB5941"/>
    <w:rsid w:val="00CC70B2"/>
    <w:rsid w:val="00CD0E1C"/>
    <w:rsid w:val="00CD20E3"/>
    <w:rsid w:val="00CD6BC9"/>
    <w:rsid w:val="00CE3BFC"/>
    <w:rsid w:val="00CE4118"/>
    <w:rsid w:val="00CE6B3D"/>
    <w:rsid w:val="00CF5453"/>
    <w:rsid w:val="00D079EC"/>
    <w:rsid w:val="00D32120"/>
    <w:rsid w:val="00D35A86"/>
    <w:rsid w:val="00D61229"/>
    <w:rsid w:val="00D76D36"/>
    <w:rsid w:val="00D977F6"/>
    <w:rsid w:val="00DB2270"/>
    <w:rsid w:val="00DB6F1E"/>
    <w:rsid w:val="00DC6F56"/>
    <w:rsid w:val="00DD4760"/>
    <w:rsid w:val="00DE4085"/>
    <w:rsid w:val="00DF6332"/>
    <w:rsid w:val="00E41C44"/>
    <w:rsid w:val="00E476CC"/>
    <w:rsid w:val="00E72D4B"/>
    <w:rsid w:val="00E92FF4"/>
    <w:rsid w:val="00EA7800"/>
    <w:rsid w:val="00EB4002"/>
    <w:rsid w:val="00EC0640"/>
    <w:rsid w:val="00EE7A5F"/>
    <w:rsid w:val="00EF0F42"/>
    <w:rsid w:val="00F07408"/>
    <w:rsid w:val="00F15091"/>
    <w:rsid w:val="00F4717B"/>
    <w:rsid w:val="00F65321"/>
    <w:rsid w:val="00F65A15"/>
    <w:rsid w:val="00F83195"/>
    <w:rsid w:val="00F873F7"/>
    <w:rsid w:val="00F94F33"/>
    <w:rsid w:val="00FC3AB4"/>
    <w:rsid w:val="00FD3ACB"/>
    <w:rsid w:val="00FD4258"/>
    <w:rsid w:val="00FD68AC"/>
    <w:rsid w:val="00FD6B12"/>
    <w:rsid w:val="00FE09AD"/>
    <w:rsid w:val="00FF1716"/>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A33"/>
  <w15:chartTrackingRefBased/>
  <w15:docId w15:val="{12915AA6-932F-44FC-9E6E-26D5333A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CA"/>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6D58F1"/>
    <w:rPr>
      <w:color w:val="0563C1" w:themeColor="hyperlink"/>
      <w:u w:val="single"/>
    </w:rPr>
  </w:style>
  <w:style w:type="character" w:styleId="FollowedHyperlink">
    <w:name w:val="FollowedHyperlink"/>
    <w:basedOn w:val="DefaultParagraphFont"/>
    <w:uiPriority w:val="99"/>
    <w:semiHidden/>
    <w:unhideWhenUsed/>
    <w:rsid w:val="00D61229"/>
    <w:rPr>
      <w:color w:val="954F72" w:themeColor="followedHyperlink"/>
      <w:u w:val="single"/>
    </w:rPr>
  </w:style>
  <w:style w:type="paragraph" w:styleId="Header">
    <w:name w:val="header"/>
    <w:basedOn w:val="Normal"/>
    <w:link w:val="HeaderChar"/>
    <w:uiPriority w:val="99"/>
    <w:unhideWhenUsed/>
    <w:rsid w:val="0025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1A"/>
  </w:style>
  <w:style w:type="paragraph" w:styleId="Footer">
    <w:name w:val="footer"/>
    <w:basedOn w:val="Normal"/>
    <w:link w:val="FooterChar"/>
    <w:uiPriority w:val="99"/>
    <w:unhideWhenUsed/>
    <w:rsid w:val="0025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1A"/>
  </w:style>
  <w:style w:type="character" w:styleId="CommentReference">
    <w:name w:val="annotation reference"/>
    <w:basedOn w:val="DefaultParagraphFont"/>
    <w:uiPriority w:val="99"/>
    <w:semiHidden/>
    <w:unhideWhenUsed/>
    <w:rsid w:val="00CD0E1C"/>
    <w:rPr>
      <w:sz w:val="16"/>
      <w:szCs w:val="16"/>
    </w:rPr>
  </w:style>
  <w:style w:type="paragraph" w:styleId="CommentText">
    <w:name w:val="annotation text"/>
    <w:basedOn w:val="Normal"/>
    <w:link w:val="CommentTextChar"/>
    <w:uiPriority w:val="99"/>
    <w:unhideWhenUsed/>
    <w:rsid w:val="00CD0E1C"/>
    <w:pPr>
      <w:spacing w:line="240" w:lineRule="auto"/>
    </w:pPr>
    <w:rPr>
      <w:sz w:val="20"/>
      <w:szCs w:val="20"/>
    </w:rPr>
  </w:style>
  <w:style w:type="character" w:customStyle="1" w:styleId="CommentTextChar">
    <w:name w:val="Comment Text Char"/>
    <w:basedOn w:val="DefaultParagraphFont"/>
    <w:link w:val="CommentText"/>
    <w:uiPriority w:val="99"/>
    <w:rsid w:val="00CD0E1C"/>
    <w:rPr>
      <w:sz w:val="20"/>
      <w:szCs w:val="20"/>
    </w:rPr>
  </w:style>
  <w:style w:type="paragraph" w:styleId="CommentSubject">
    <w:name w:val="annotation subject"/>
    <w:basedOn w:val="CommentText"/>
    <w:next w:val="CommentText"/>
    <w:link w:val="CommentSubjectChar"/>
    <w:uiPriority w:val="99"/>
    <w:semiHidden/>
    <w:unhideWhenUsed/>
    <w:rsid w:val="00CD0E1C"/>
    <w:rPr>
      <w:b/>
      <w:bCs/>
    </w:rPr>
  </w:style>
  <w:style w:type="character" w:customStyle="1" w:styleId="CommentSubjectChar">
    <w:name w:val="Comment Subject Char"/>
    <w:basedOn w:val="CommentTextChar"/>
    <w:link w:val="CommentSubject"/>
    <w:uiPriority w:val="99"/>
    <w:semiHidden/>
    <w:rsid w:val="00CD0E1C"/>
    <w:rPr>
      <w:b/>
      <w:bCs/>
      <w:sz w:val="20"/>
      <w:szCs w:val="20"/>
    </w:rPr>
  </w:style>
  <w:style w:type="paragraph" w:styleId="BalloonText">
    <w:name w:val="Balloon Text"/>
    <w:basedOn w:val="Normal"/>
    <w:link w:val="BalloonTextChar"/>
    <w:uiPriority w:val="99"/>
    <w:semiHidden/>
    <w:unhideWhenUsed/>
    <w:rsid w:val="00CD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1C"/>
    <w:rPr>
      <w:rFonts w:ascii="Segoe UI" w:hAnsi="Segoe UI" w:cs="Segoe UI"/>
      <w:sz w:val="18"/>
      <w:szCs w:val="18"/>
    </w:rPr>
  </w:style>
  <w:style w:type="character" w:styleId="UnresolvedMention">
    <w:name w:val="Unresolved Mention"/>
    <w:basedOn w:val="DefaultParagraphFont"/>
    <w:uiPriority w:val="99"/>
    <w:semiHidden/>
    <w:unhideWhenUsed/>
    <w:rsid w:val="00972868"/>
    <w:rPr>
      <w:color w:val="605E5C"/>
      <w:shd w:val="clear" w:color="auto" w:fill="E1DFDD"/>
    </w:rPr>
  </w:style>
  <w:style w:type="paragraph" w:styleId="Revision">
    <w:name w:val="Revision"/>
    <w:hidden/>
    <w:uiPriority w:val="99"/>
    <w:semiHidden/>
    <w:rsid w:val="00A85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132">
      <w:bodyDiv w:val="1"/>
      <w:marLeft w:val="0"/>
      <w:marRight w:val="0"/>
      <w:marTop w:val="0"/>
      <w:marBottom w:val="0"/>
      <w:divBdr>
        <w:top w:val="none" w:sz="0" w:space="0" w:color="auto"/>
        <w:left w:val="none" w:sz="0" w:space="0" w:color="auto"/>
        <w:bottom w:val="none" w:sz="0" w:space="0" w:color="auto"/>
        <w:right w:val="none" w:sz="0" w:space="0" w:color="auto"/>
      </w:divBdr>
    </w:div>
    <w:div w:id="527068621">
      <w:bodyDiv w:val="1"/>
      <w:marLeft w:val="0"/>
      <w:marRight w:val="0"/>
      <w:marTop w:val="0"/>
      <w:marBottom w:val="0"/>
      <w:divBdr>
        <w:top w:val="none" w:sz="0" w:space="0" w:color="auto"/>
        <w:left w:val="none" w:sz="0" w:space="0" w:color="auto"/>
        <w:bottom w:val="none" w:sz="0" w:space="0" w:color="auto"/>
        <w:right w:val="none" w:sz="0" w:space="0" w:color="auto"/>
      </w:divBdr>
    </w:div>
    <w:div w:id="1098211309">
      <w:bodyDiv w:val="1"/>
      <w:marLeft w:val="0"/>
      <w:marRight w:val="0"/>
      <w:marTop w:val="0"/>
      <w:marBottom w:val="0"/>
      <w:divBdr>
        <w:top w:val="none" w:sz="0" w:space="0" w:color="auto"/>
        <w:left w:val="none" w:sz="0" w:space="0" w:color="auto"/>
        <w:bottom w:val="none" w:sz="0" w:space="0" w:color="auto"/>
        <w:right w:val="none" w:sz="0" w:space="0" w:color="auto"/>
      </w:divBdr>
    </w:div>
    <w:div w:id="1186409682">
      <w:bodyDiv w:val="1"/>
      <w:marLeft w:val="0"/>
      <w:marRight w:val="0"/>
      <w:marTop w:val="0"/>
      <w:marBottom w:val="0"/>
      <w:divBdr>
        <w:top w:val="none" w:sz="0" w:space="0" w:color="auto"/>
        <w:left w:val="none" w:sz="0" w:space="0" w:color="auto"/>
        <w:bottom w:val="none" w:sz="0" w:space="0" w:color="auto"/>
        <w:right w:val="none" w:sz="0" w:space="0" w:color="auto"/>
      </w:divBdr>
    </w:div>
    <w:div w:id="21373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osu.edu/faculty/promotion-and-tenure/apt-toolbox" TargetMode="External"/><Relationship Id="rId13" Type="http://schemas.openxmlformats.org/officeDocument/2006/relationships/hyperlink" Target="https://medicine.osu.edu/faculty/promotion-and-tenure/apt-toolbox" TargetMode="External"/><Relationship Id="rId18" Type="http://schemas.openxmlformats.org/officeDocument/2006/relationships/hyperlink" Target="https://medicine.osu.edu/faculty/promotion-and-tenure/apt-toolbox" TargetMode="External"/><Relationship Id="rId3" Type="http://schemas.openxmlformats.org/officeDocument/2006/relationships/settings" Target="settings.xml"/><Relationship Id="rId21" Type="http://schemas.openxmlformats.org/officeDocument/2006/relationships/hyperlink" Target="https://medicine.osu.edu/faculty/promotion-and-tenure/apt-toolbox" TargetMode="External"/><Relationship Id="rId7" Type="http://schemas.openxmlformats.org/officeDocument/2006/relationships/hyperlink" Target="https://oaa.osu.edu/sites/default/files/links_files/oaa-handbook-vol-3-p-and-t-rev-08-2021.pdf" TargetMode="External"/><Relationship Id="rId12" Type="http://schemas.openxmlformats.org/officeDocument/2006/relationships/hyperlink" Target="https://medicine.osu.edu/faculty/promotion-and-tenure/apt-toolbox" TargetMode="External"/><Relationship Id="rId17" Type="http://schemas.openxmlformats.org/officeDocument/2006/relationships/hyperlink" Target="https://registrar.osu.edu/sei/reports.html" TargetMode="External"/><Relationship Id="rId2" Type="http://schemas.openxmlformats.org/officeDocument/2006/relationships/styles" Target="styles.xml"/><Relationship Id="rId16" Type="http://schemas.openxmlformats.org/officeDocument/2006/relationships/hyperlink" Target="https://medicine.osu.edu/-/media/files/medicine/faculty/promotion-and-tenure/apt-toolbox/external-evaluation-checklist-except-clinical-excellence-v2.pdf?la=en&amp;hash=D1A8CDAB30C829C7FD3B0397330728D5F4996A4D" TargetMode="External"/><Relationship Id="rId20" Type="http://schemas.openxmlformats.org/officeDocument/2006/relationships/hyperlink" Target="https://medicine.osu.edu/faculty/promotion-and-tenure/apt-toolb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osu.edu/faculty/promotion-and-tenure/apt-toolbo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icine.osu.edu/faculty/promotion-and-tenure/apt-toolbox" TargetMode="External"/><Relationship Id="rId23" Type="http://schemas.openxmlformats.org/officeDocument/2006/relationships/fontTable" Target="fontTable.xml"/><Relationship Id="rId10" Type="http://schemas.openxmlformats.org/officeDocument/2006/relationships/hyperlink" Target="https://medicine.osu.edu/faculty/promotion-and-tenure/apt-toolbox" TargetMode="External"/><Relationship Id="rId19" Type="http://schemas.openxmlformats.org/officeDocument/2006/relationships/hyperlink" Target="https://medicine.osu.edu/-/media/files/medicine/faculty/promotion-and-tenure/apt-toolbox/who-votes-eligibility-and-processdocx.pdf?la=en&amp;hash=47146F79484927C0AA60965C9D01E8C70565F1E7" TargetMode="External"/><Relationship Id="rId4" Type="http://schemas.openxmlformats.org/officeDocument/2006/relationships/webSettings" Target="webSettings.xml"/><Relationship Id="rId9" Type="http://schemas.openxmlformats.org/officeDocument/2006/relationships/hyperlink" Target="https://oaa.osu.edu/sites/default/files/links_files/oaa-handbook-vol-3-p-and-t-rev-08-2021.pdf" TargetMode="External"/><Relationship Id="rId14" Type="http://schemas.openxmlformats.org/officeDocument/2006/relationships/hyperlink" Target="https://medicine.osu.edu/faculty/promotion-and-tenure/apt-toolbo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Kendra</dc:creator>
  <cp:keywords/>
  <dc:description/>
  <cp:lastModifiedBy>Khoroshilova, Maria</cp:lastModifiedBy>
  <cp:revision>1</cp:revision>
  <dcterms:created xsi:type="dcterms:W3CDTF">2023-11-15T15:38:00Z</dcterms:created>
  <dcterms:modified xsi:type="dcterms:W3CDTF">2023-11-15T15:38:00Z</dcterms:modified>
</cp:coreProperties>
</file>